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61F00">
      <w:pPr>
        <w:spacing w:line="560" w:lineRule="exact"/>
        <w:jc w:val="center"/>
        <w:rPr>
          <w:rFonts w:ascii="方正仿宋_GB2312" w:hAnsi="方正仿宋_GB2312" w:eastAsia="方正仿宋_GB2312" w:cs="方正仿宋_GB2312"/>
          <w:b/>
          <w:bCs/>
          <w:sz w:val="44"/>
          <w:szCs w:val="44"/>
          <w:highlight w:val="none"/>
        </w:rPr>
      </w:pPr>
      <w:r>
        <w:rPr>
          <w:rFonts w:hint="eastAsia" w:ascii="华文中宋" w:hAnsi="华文中宋" w:eastAsia="华文中宋" w:cs="华文中宋"/>
          <w:b/>
          <w:bCs/>
          <w:sz w:val="44"/>
          <w:szCs w:val="44"/>
          <w:highlight w:val="none"/>
          <w:lang w:val="en-US" w:eastAsia="zh-CN"/>
        </w:rPr>
        <w:t>济南热电集团有限公司</w:t>
      </w:r>
      <w:r>
        <w:rPr>
          <w:rFonts w:hint="eastAsia" w:ascii="华文中宋" w:hAnsi="华文中宋" w:eastAsia="华文中宋" w:cs="华文中宋"/>
          <w:b/>
          <w:bCs/>
          <w:sz w:val="44"/>
          <w:szCs w:val="44"/>
          <w:highlight w:val="none"/>
        </w:rPr>
        <w:t>金鸡岭</w:t>
      </w:r>
      <w:r>
        <w:rPr>
          <w:rFonts w:hint="eastAsia" w:ascii="华文中宋" w:hAnsi="华文中宋" w:eastAsia="华文中宋" w:cs="华文中宋"/>
          <w:b/>
          <w:bCs/>
          <w:sz w:val="44"/>
          <w:szCs w:val="44"/>
          <w:highlight w:val="none"/>
          <w:lang w:val="en-US" w:eastAsia="zh-CN"/>
        </w:rPr>
        <w:t>厂区废旧资产一宗转让</w:t>
      </w:r>
      <w:r>
        <w:rPr>
          <w:rFonts w:hint="eastAsia" w:ascii="华文中宋" w:hAnsi="华文中宋" w:eastAsia="华文中宋" w:cs="华文中宋"/>
          <w:b/>
          <w:bCs/>
          <w:sz w:val="44"/>
          <w:szCs w:val="44"/>
          <w:highlight w:val="none"/>
        </w:rPr>
        <w:t>项目竞买人须知</w:t>
      </w:r>
    </w:p>
    <w:p w14:paraId="64B84401">
      <w:pPr>
        <w:numPr>
          <w:ilvl w:val="0"/>
          <w:numId w:val="0"/>
        </w:numPr>
        <w:spacing w:line="360" w:lineRule="auto"/>
        <w:rPr>
          <w:rFonts w:hint="eastAsia" w:ascii="仿宋" w:hAnsi="仿宋" w:eastAsia="仿宋" w:cs="仿宋"/>
          <w:b/>
          <w:bCs/>
          <w:sz w:val="24"/>
          <w:szCs w:val="24"/>
          <w:highlight w:val="none"/>
          <w:lang w:val="en-US" w:eastAsia="zh-CN"/>
        </w:rPr>
      </w:pPr>
    </w:p>
    <w:p w14:paraId="3B1F8982">
      <w:pPr>
        <w:numPr>
          <w:ilvl w:val="0"/>
          <w:numId w:val="0"/>
        </w:numPr>
        <w:spacing w:line="360" w:lineRule="auto"/>
        <w:rPr>
          <w:rStyle w:val="12"/>
          <w:rFonts w:hint="eastAsia" w:ascii="仿宋_GB2312" w:hAnsi="仿宋_GB2312" w:eastAsia="仿宋_GB2312" w:cs="仿宋_GB2312"/>
          <w:bCs/>
          <w:color w:val="333333"/>
          <w:sz w:val="28"/>
          <w:szCs w:val="28"/>
          <w:highlight w:val="none"/>
          <w:shd w:val="clear" w:color="auto" w:fill="FFFFFF"/>
          <w:lang w:val="en-US" w:eastAsia="zh-CN" w:bidi="ar-SA"/>
        </w:rPr>
      </w:pPr>
      <w:r>
        <w:rPr>
          <w:rStyle w:val="12"/>
          <w:rFonts w:hint="eastAsia" w:ascii="仿宋_GB2312" w:hAnsi="仿宋_GB2312" w:eastAsia="仿宋_GB2312" w:cs="仿宋_GB2312"/>
          <w:bCs/>
          <w:color w:val="333333"/>
          <w:sz w:val="28"/>
          <w:szCs w:val="28"/>
          <w:highlight w:val="none"/>
          <w:shd w:val="clear" w:color="auto" w:fill="FFFFFF"/>
          <w:lang w:val="en-US" w:eastAsia="zh-CN" w:bidi="ar-SA"/>
        </w:rPr>
        <w:t>一、标的简介</w:t>
      </w:r>
    </w:p>
    <w:p w14:paraId="6D69B681">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333333"/>
          <w:sz w:val="28"/>
          <w:szCs w:val="28"/>
          <w:highlight w:val="none"/>
          <w:shd w:val="clear" w:color="auto" w:fill="FFFFFF"/>
        </w:rPr>
      </w:pPr>
      <w:r>
        <w:rPr>
          <w:rFonts w:hint="eastAsia" w:ascii="仿宋_GB2312" w:hAnsi="仿宋_GB2312" w:eastAsia="仿宋_GB2312" w:cs="仿宋_GB2312"/>
          <w:color w:val="333333"/>
          <w:sz w:val="28"/>
          <w:szCs w:val="28"/>
          <w:highlight w:val="none"/>
          <w:shd w:val="clear" w:color="auto" w:fill="FFFFFF"/>
        </w:rPr>
        <w:t>本项目转让标的资产为济南热电集团有限公司金鸡岭厂区废旧资产一宗，主要包括：</w:t>
      </w:r>
      <w:bookmarkStart w:id="1" w:name="_GoBack"/>
      <w:bookmarkEnd w:id="1"/>
      <w:r>
        <w:rPr>
          <w:rFonts w:hint="eastAsia" w:ascii="仿宋_GB2312" w:hAnsi="仿宋_GB2312" w:eastAsia="仿宋_GB2312" w:cs="仿宋_GB2312"/>
          <w:color w:val="333333"/>
          <w:sz w:val="28"/>
          <w:szCs w:val="28"/>
          <w:highlight w:val="none"/>
          <w:shd w:val="clear" w:color="auto" w:fill="FFFFFF"/>
        </w:rPr>
        <w:t>#1-7锅炉本体及辅机、配套脱硫、脱硝、除尘等设备；化水、废水处理、输煤</w:t>
      </w:r>
      <w:r>
        <w:rPr>
          <w:rFonts w:hint="eastAsia" w:ascii="仿宋_GB2312" w:hAnsi="仿宋_GB2312" w:eastAsia="仿宋_GB2312" w:cs="仿宋_GB2312"/>
          <w:color w:val="333333"/>
          <w:sz w:val="28"/>
          <w:szCs w:val="28"/>
          <w:highlight w:val="none"/>
          <w:shd w:val="clear" w:color="auto" w:fill="FFFFFF"/>
          <w:lang w:val="en-US" w:eastAsia="zh-CN"/>
        </w:rPr>
        <w:t>设施</w:t>
      </w:r>
      <w:r>
        <w:rPr>
          <w:rFonts w:hint="eastAsia" w:ascii="仿宋_GB2312" w:hAnsi="仿宋_GB2312" w:eastAsia="仿宋_GB2312" w:cs="仿宋_GB2312"/>
          <w:color w:val="333333"/>
          <w:sz w:val="28"/>
          <w:szCs w:val="28"/>
          <w:highlight w:val="none"/>
          <w:shd w:val="clear" w:color="auto" w:fill="FFFFFF"/>
        </w:rPr>
        <w:t>；汽轮发电机组、</w:t>
      </w:r>
      <w:r>
        <w:rPr>
          <w:rFonts w:hint="eastAsia" w:ascii="仿宋_GB2312" w:hAnsi="仿宋_GB2312" w:eastAsia="仿宋_GB2312" w:cs="仿宋_GB2312"/>
          <w:color w:val="333333"/>
          <w:sz w:val="28"/>
          <w:szCs w:val="28"/>
          <w:highlight w:val="none"/>
          <w:shd w:val="clear" w:color="auto" w:fill="FFFFFF"/>
          <w:lang w:val="en-US" w:eastAsia="zh-CN"/>
        </w:rPr>
        <w:t>供热循环泵</w:t>
      </w:r>
      <w:r>
        <w:rPr>
          <w:rFonts w:hint="eastAsia" w:ascii="仿宋_GB2312" w:hAnsi="仿宋_GB2312" w:eastAsia="仿宋_GB2312" w:cs="仿宋_GB2312"/>
          <w:color w:val="333333"/>
          <w:sz w:val="28"/>
          <w:szCs w:val="28"/>
          <w:highlight w:val="none"/>
          <w:shd w:val="clear" w:color="auto" w:fill="FFFFFF"/>
        </w:rPr>
        <w:t>、地磅、110kv变电</w:t>
      </w:r>
      <w:r>
        <w:rPr>
          <w:rFonts w:hint="eastAsia" w:ascii="仿宋_GB2312" w:hAnsi="仿宋_GB2312" w:eastAsia="仿宋_GB2312" w:cs="仿宋_GB2312"/>
          <w:color w:val="333333"/>
          <w:sz w:val="28"/>
          <w:szCs w:val="28"/>
          <w:highlight w:val="none"/>
          <w:shd w:val="clear" w:color="auto" w:fill="FFFFFF"/>
          <w:lang w:val="en-US" w:eastAsia="zh-CN"/>
        </w:rPr>
        <w:t>设备</w:t>
      </w:r>
      <w:r>
        <w:rPr>
          <w:rFonts w:hint="eastAsia" w:ascii="仿宋_GB2312" w:hAnsi="仿宋_GB2312" w:eastAsia="仿宋_GB2312" w:cs="仿宋_GB2312"/>
          <w:color w:val="333333"/>
          <w:sz w:val="28"/>
          <w:szCs w:val="28"/>
          <w:highlight w:val="none"/>
          <w:shd w:val="clear" w:color="auto" w:fill="FFFFFF"/>
          <w:lang w:eastAsia="zh-CN"/>
        </w:rPr>
        <w:t>（</w:t>
      </w:r>
      <w:r>
        <w:rPr>
          <w:rFonts w:hint="eastAsia" w:ascii="仿宋_GB2312" w:hAnsi="仿宋_GB2312" w:eastAsia="仿宋_GB2312" w:cs="仿宋_GB2312"/>
          <w:color w:val="333333"/>
          <w:sz w:val="28"/>
          <w:szCs w:val="28"/>
          <w:highlight w:val="none"/>
          <w:shd w:val="clear" w:color="auto" w:fill="FFFFFF"/>
          <w:lang w:val="en-US" w:eastAsia="zh-CN"/>
        </w:rPr>
        <w:t>不含110kv党热线进线电缆及接线压盘</w:t>
      </w:r>
      <w:r>
        <w:rPr>
          <w:rFonts w:hint="eastAsia" w:ascii="仿宋_GB2312" w:hAnsi="仿宋_GB2312" w:eastAsia="仿宋_GB2312" w:cs="仿宋_GB2312"/>
          <w:color w:val="333333"/>
          <w:sz w:val="28"/>
          <w:szCs w:val="28"/>
          <w:highlight w:val="none"/>
          <w:shd w:val="clear" w:color="auto" w:fill="FFFFFF"/>
          <w:lang w:eastAsia="zh-CN"/>
        </w:rPr>
        <w:t>）</w:t>
      </w:r>
      <w:r>
        <w:rPr>
          <w:rFonts w:hint="eastAsia" w:ascii="仿宋_GB2312" w:hAnsi="仿宋_GB2312" w:eastAsia="仿宋_GB2312" w:cs="仿宋_GB2312"/>
          <w:color w:val="333333"/>
          <w:sz w:val="28"/>
          <w:szCs w:val="28"/>
          <w:highlight w:val="none"/>
          <w:shd w:val="clear" w:color="auto" w:fill="FFFFFF"/>
          <w:lang w:val="en-US" w:eastAsia="zh-CN"/>
        </w:rPr>
        <w:t>开关站（不含10kv英金线进线电缆及接线压盘）、</w:t>
      </w:r>
      <w:r>
        <w:rPr>
          <w:rFonts w:hint="eastAsia" w:ascii="仿宋_GB2312" w:hAnsi="仿宋_GB2312" w:eastAsia="仿宋_GB2312" w:cs="仿宋_GB2312"/>
          <w:color w:val="333333"/>
          <w:sz w:val="28"/>
          <w:szCs w:val="28"/>
          <w:highlight w:val="none"/>
          <w:shd w:val="clear" w:color="auto" w:fill="FFFFFF"/>
        </w:rPr>
        <w:t>高低压配电室、</w:t>
      </w:r>
      <w:r>
        <w:rPr>
          <w:rFonts w:hint="eastAsia" w:ascii="仿宋_GB2312" w:hAnsi="仿宋_GB2312" w:eastAsia="仿宋_GB2312" w:cs="仿宋_GB2312"/>
          <w:color w:val="333333"/>
          <w:sz w:val="28"/>
          <w:szCs w:val="28"/>
          <w:highlight w:val="none"/>
          <w:shd w:val="clear" w:color="auto" w:fill="FFFFFF"/>
          <w:lang w:val="en-US" w:eastAsia="zh-CN"/>
        </w:rPr>
        <w:t>配套</w:t>
      </w:r>
      <w:r>
        <w:rPr>
          <w:rFonts w:hint="eastAsia" w:ascii="仿宋_GB2312" w:hAnsi="仿宋_GB2312" w:eastAsia="仿宋_GB2312" w:cs="仿宋_GB2312"/>
          <w:color w:val="333333"/>
          <w:sz w:val="28"/>
          <w:szCs w:val="28"/>
          <w:highlight w:val="none"/>
          <w:shd w:val="clear" w:color="auto" w:fill="FFFFFF"/>
        </w:rPr>
        <w:t>电缆等设备；车辆、办公及电子设备、架空管道、沟槽等资产；房屋建筑物、构筑物等</w:t>
      </w:r>
      <w:r>
        <w:rPr>
          <w:rFonts w:hint="eastAsia" w:ascii="仿宋_GB2312" w:hAnsi="仿宋_GB2312" w:eastAsia="仿宋_GB2312" w:cs="仿宋_GB2312"/>
          <w:color w:val="333333"/>
          <w:sz w:val="28"/>
          <w:szCs w:val="28"/>
          <w:highlight w:val="none"/>
          <w:shd w:val="clear" w:color="auto" w:fill="FFFFFF"/>
          <w:lang w:val="en-US" w:eastAsia="zh-CN"/>
        </w:rPr>
        <w:t>，含标的范围内苗木（须迁移）。资产以实物现状为准，按现状拍卖按现状交接</w:t>
      </w:r>
      <w:r>
        <w:rPr>
          <w:rFonts w:hint="eastAsia" w:ascii="仿宋_GB2312" w:hAnsi="仿宋_GB2312" w:eastAsia="仿宋_GB2312" w:cs="仿宋_GB2312"/>
          <w:color w:val="333333"/>
          <w:sz w:val="28"/>
          <w:szCs w:val="28"/>
          <w:highlight w:val="none"/>
          <w:shd w:val="clear" w:color="auto" w:fill="FFFFFF"/>
        </w:rPr>
        <w:t>，</w:t>
      </w:r>
      <w:r>
        <w:rPr>
          <w:rFonts w:hint="eastAsia" w:ascii="仿宋_GB2312" w:hAnsi="仿宋_GB2312" w:eastAsia="仿宋_GB2312" w:cs="仿宋_GB2312"/>
          <w:color w:val="333333"/>
          <w:sz w:val="28"/>
          <w:szCs w:val="28"/>
          <w:highlight w:val="none"/>
          <w:shd w:val="clear" w:color="auto" w:fill="FFFFFF"/>
          <w:lang w:val="en-US" w:eastAsia="zh-CN"/>
        </w:rPr>
        <w:t>标的物</w:t>
      </w:r>
      <w:r>
        <w:rPr>
          <w:rFonts w:hint="eastAsia" w:ascii="仿宋_GB2312" w:hAnsi="仿宋_GB2312" w:eastAsia="仿宋_GB2312" w:cs="仿宋_GB2312"/>
          <w:b/>
          <w:bCs/>
          <w:color w:val="auto"/>
          <w:sz w:val="28"/>
          <w:szCs w:val="28"/>
          <w:highlight w:val="none"/>
          <w:u w:val="single"/>
          <w:shd w:val="clear" w:color="auto" w:fill="FFFFFF"/>
        </w:rPr>
        <w:t>不包含土地资产</w:t>
      </w:r>
      <w:r>
        <w:rPr>
          <w:rFonts w:hint="eastAsia" w:ascii="仿宋_GB2312" w:hAnsi="仿宋_GB2312" w:eastAsia="仿宋_GB2312" w:cs="仿宋_GB2312"/>
          <w:color w:val="auto"/>
          <w:sz w:val="28"/>
          <w:szCs w:val="28"/>
          <w:highlight w:val="none"/>
          <w:shd w:val="clear" w:color="auto" w:fill="FFFFFF"/>
        </w:rPr>
        <w:t>。</w:t>
      </w:r>
    </w:p>
    <w:p w14:paraId="301784F8">
      <w:pPr>
        <w:pStyle w:val="9"/>
        <w:widowControl/>
        <w:shd w:val="clear" w:color="auto" w:fill="FFFFFF"/>
        <w:spacing w:beforeAutospacing="0" w:afterAutospacing="0" w:line="360" w:lineRule="auto"/>
        <w:ind w:firstLine="555"/>
        <w:jc w:val="both"/>
        <w:rPr>
          <w:rStyle w:val="12"/>
          <w:rFonts w:hint="eastAsia" w:ascii="仿宋_GB2312" w:hAnsi="仿宋_GB2312" w:eastAsia="仿宋_GB2312" w:cs="仿宋_GB2312"/>
          <w:bCs/>
          <w:color w:val="333333"/>
          <w:sz w:val="28"/>
          <w:szCs w:val="28"/>
          <w:highlight w:val="none"/>
          <w:shd w:val="clear" w:color="auto" w:fill="FFFFFF"/>
        </w:rPr>
      </w:pPr>
      <w:r>
        <w:rPr>
          <w:rStyle w:val="12"/>
          <w:rFonts w:hint="eastAsia" w:ascii="仿宋_GB2312" w:hAnsi="仿宋_GB2312" w:eastAsia="仿宋_GB2312" w:cs="仿宋_GB2312"/>
          <w:bCs/>
          <w:color w:val="333333"/>
          <w:sz w:val="28"/>
          <w:szCs w:val="28"/>
          <w:highlight w:val="none"/>
          <w:shd w:val="clear" w:color="auto" w:fill="FFFFFF"/>
          <w:lang w:eastAsia="zh-CN"/>
        </w:rPr>
        <w:t>（</w:t>
      </w:r>
      <w:r>
        <w:rPr>
          <w:rStyle w:val="12"/>
          <w:rFonts w:hint="eastAsia" w:ascii="仿宋_GB2312" w:hAnsi="仿宋_GB2312" w:eastAsia="仿宋_GB2312" w:cs="仿宋_GB2312"/>
          <w:bCs/>
          <w:color w:val="333333"/>
          <w:sz w:val="28"/>
          <w:szCs w:val="28"/>
          <w:highlight w:val="none"/>
          <w:shd w:val="clear" w:color="auto" w:fill="FFFFFF"/>
          <w:lang w:val="en-US" w:eastAsia="zh-CN"/>
        </w:rPr>
        <w:t>一</w:t>
      </w:r>
      <w:r>
        <w:rPr>
          <w:rStyle w:val="12"/>
          <w:rFonts w:hint="eastAsia" w:ascii="仿宋_GB2312" w:hAnsi="仿宋_GB2312" w:eastAsia="仿宋_GB2312" w:cs="仿宋_GB2312"/>
          <w:bCs/>
          <w:color w:val="333333"/>
          <w:sz w:val="28"/>
          <w:szCs w:val="28"/>
          <w:highlight w:val="none"/>
          <w:shd w:val="clear" w:color="auto" w:fill="FFFFFF"/>
          <w:lang w:eastAsia="zh-CN"/>
        </w:rPr>
        <w:t>）</w:t>
      </w:r>
      <w:r>
        <w:rPr>
          <w:rStyle w:val="12"/>
          <w:rFonts w:hint="eastAsia" w:ascii="仿宋_GB2312" w:hAnsi="仿宋_GB2312" w:eastAsia="仿宋_GB2312" w:cs="仿宋_GB2312"/>
          <w:bCs/>
          <w:color w:val="333333"/>
          <w:sz w:val="28"/>
          <w:szCs w:val="28"/>
          <w:highlight w:val="none"/>
          <w:shd w:val="clear" w:color="auto" w:fill="FFFFFF"/>
        </w:rPr>
        <w:t>特别说明：</w:t>
      </w:r>
    </w:p>
    <w:p w14:paraId="666F7C05">
      <w:pPr>
        <w:pStyle w:val="9"/>
        <w:widowControl/>
        <w:numPr>
          <w:ilvl w:val="0"/>
          <w:numId w:val="0"/>
        </w:numPr>
        <w:shd w:val="clear" w:color="auto" w:fill="FFFFFF"/>
        <w:spacing w:beforeAutospacing="0" w:afterAutospacing="0" w:line="360" w:lineRule="auto"/>
        <w:ind w:firstLine="555" w:firstLineChars="0"/>
        <w:jc w:val="both"/>
        <w:rPr>
          <w:rFonts w:hint="eastAsia" w:ascii="仿宋_GB2312" w:hAnsi="仿宋_GB2312" w:eastAsia="仿宋_GB2312" w:cs="仿宋_GB2312"/>
          <w:color w:val="333333"/>
          <w:sz w:val="28"/>
          <w:szCs w:val="28"/>
          <w:highlight w:val="none"/>
          <w:shd w:val="clear" w:color="auto" w:fill="FFFFFF"/>
        </w:rPr>
      </w:pPr>
      <w:r>
        <w:rPr>
          <w:rFonts w:hint="eastAsia" w:ascii="仿宋_GB2312" w:hAnsi="仿宋_GB2312" w:eastAsia="仿宋_GB2312" w:cs="仿宋_GB2312"/>
          <w:color w:val="333333"/>
          <w:sz w:val="28"/>
          <w:szCs w:val="28"/>
          <w:highlight w:val="none"/>
          <w:shd w:val="clear" w:fill="FFFFFF"/>
          <w:lang w:val="en-US" w:eastAsia="zh-CN" w:bidi="ar-SA"/>
        </w:rPr>
        <w:t>1.</w:t>
      </w:r>
      <w:r>
        <w:rPr>
          <w:rFonts w:hint="eastAsia" w:ascii="仿宋_GB2312" w:hAnsi="仿宋_GB2312" w:eastAsia="仿宋_GB2312" w:cs="仿宋_GB2312"/>
          <w:color w:val="333333"/>
          <w:sz w:val="28"/>
          <w:szCs w:val="28"/>
          <w:highlight w:val="none"/>
          <w:shd w:val="clear" w:color="auto" w:fill="FFFFFF"/>
        </w:rPr>
        <w:t>本项目资产整体转让不予拆分，</w:t>
      </w:r>
      <w:r>
        <w:rPr>
          <w:rFonts w:hint="eastAsia" w:ascii="仿宋_GB2312" w:hAnsi="仿宋_GB2312" w:eastAsia="仿宋_GB2312" w:cs="仿宋_GB2312"/>
          <w:color w:val="333333"/>
          <w:spacing w:val="-2"/>
          <w:sz w:val="28"/>
          <w:szCs w:val="28"/>
          <w:highlight w:val="none"/>
        </w:rPr>
        <w:t>《资产明细表》仅供参考，不作为转让方对资产种类、数量、性能、功能或完整性的任何承诺。转让方不保证明细表与实际资产完全一致，标的数量与</w:t>
      </w:r>
      <w:r>
        <w:rPr>
          <w:rFonts w:hint="eastAsia" w:ascii="仿宋_GB2312" w:hAnsi="仿宋_GB2312" w:eastAsia="仿宋_GB2312" w:cs="仿宋_GB2312"/>
          <w:color w:val="333333"/>
          <w:spacing w:val="4"/>
          <w:sz w:val="28"/>
          <w:szCs w:val="28"/>
          <w:highlight w:val="none"/>
        </w:rPr>
        <w:t>质量均以移交时的现场实物现状为准进行交接，</w:t>
      </w:r>
      <w:r>
        <w:rPr>
          <w:rFonts w:hint="eastAsia" w:ascii="仿宋_GB2312" w:hAnsi="仿宋_GB2312" w:eastAsia="仿宋_GB2312" w:cs="仿宋_GB2312"/>
          <w:color w:val="333333"/>
          <w:sz w:val="28"/>
          <w:szCs w:val="28"/>
          <w:highlight w:val="none"/>
          <w:shd w:val="clear" w:color="auto" w:fill="FFFFFF"/>
        </w:rPr>
        <w:t>竞买人务必实地踏勘现场，自行核算谨慎参拍，拍卖人、转让方对拍卖标的不承担任何质量保证责任。</w:t>
      </w:r>
    </w:p>
    <w:p w14:paraId="1000481D">
      <w:pPr>
        <w:pStyle w:val="9"/>
        <w:widowControl/>
        <w:numPr>
          <w:ilvl w:val="0"/>
          <w:numId w:val="0"/>
        </w:numPr>
        <w:shd w:val="clear" w:color="auto" w:fill="FFFFFF"/>
        <w:spacing w:beforeAutospacing="0" w:afterAutospacing="0" w:line="360" w:lineRule="auto"/>
        <w:ind w:firstLine="555" w:firstLineChars="0"/>
        <w:jc w:val="both"/>
        <w:rPr>
          <w:rFonts w:hint="eastAsia" w:ascii="仿宋_GB2312" w:hAnsi="仿宋_GB2312" w:eastAsia="仿宋_GB2312" w:cs="仿宋_GB2312"/>
          <w:color w:val="333333"/>
          <w:sz w:val="28"/>
          <w:szCs w:val="28"/>
          <w:highlight w:val="none"/>
          <w:shd w:val="clear" w:color="auto" w:fill="FFFFFF"/>
          <w:lang w:val="en-US" w:eastAsia="zh-CN"/>
        </w:rPr>
      </w:pPr>
      <w:r>
        <w:rPr>
          <w:rFonts w:hint="eastAsia" w:ascii="仿宋_GB2312" w:hAnsi="仿宋_GB2312" w:eastAsia="仿宋_GB2312" w:cs="仿宋_GB2312"/>
          <w:color w:val="333333"/>
          <w:sz w:val="28"/>
          <w:szCs w:val="28"/>
          <w:highlight w:val="none"/>
          <w:shd w:val="clear" w:fill="FFFFFF"/>
          <w:lang w:val="en-US" w:eastAsia="zh-CN" w:bidi="ar-SA"/>
        </w:rPr>
        <w:t>2.</w:t>
      </w:r>
      <w:r>
        <w:rPr>
          <w:rFonts w:hint="eastAsia" w:ascii="仿宋_GB2312" w:hAnsi="仿宋_GB2312" w:eastAsia="仿宋_GB2312" w:cs="仿宋_GB2312"/>
          <w:color w:val="333333"/>
          <w:sz w:val="28"/>
          <w:szCs w:val="28"/>
          <w:highlight w:val="none"/>
          <w:shd w:val="clear" w:color="auto" w:fill="FFFFFF"/>
          <w:lang w:val="en-US" w:eastAsia="zh-CN"/>
        </w:rPr>
        <w:t>转让方保留资产：</w:t>
      </w:r>
      <w:r>
        <w:rPr>
          <w:rFonts w:hint="eastAsia" w:ascii="仿宋_GB2312" w:hAnsi="仿宋_GB2312" w:eastAsia="仿宋_GB2312" w:cs="仿宋_GB2312"/>
          <w:color w:val="333333"/>
          <w:sz w:val="28"/>
          <w:szCs w:val="28"/>
          <w:highlight w:val="none"/>
          <w:shd w:val="clear" w:color="auto" w:fill="FFFFFF"/>
        </w:rPr>
        <w:t>110kv变电</w:t>
      </w:r>
      <w:r>
        <w:rPr>
          <w:rFonts w:hint="eastAsia" w:ascii="仿宋_GB2312" w:hAnsi="仿宋_GB2312" w:eastAsia="仿宋_GB2312" w:cs="仿宋_GB2312"/>
          <w:color w:val="333333"/>
          <w:sz w:val="28"/>
          <w:szCs w:val="28"/>
          <w:highlight w:val="none"/>
          <w:shd w:val="clear" w:color="auto" w:fill="FFFFFF"/>
          <w:lang w:val="en-US" w:eastAsia="zh-CN"/>
        </w:rPr>
        <w:t>设备进线电缆及接线压盘、开关站10kv英金线进线电缆及接线压盘、舜耕路侧西门装置一套（包括电动挡车倒闸、电动伸缩门、门禁系统），具体数量以转让方现场指认及移交确认单为准。</w:t>
      </w:r>
    </w:p>
    <w:p w14:paraId="7D2ED253">
      <w:pPr>
        <w:pStyle w:val="9"/>
        <w:widowControl/>
        <w:numPr>
          <w:ilvl w:val="0"/>
          <w:numId w:val="0"/>
        </w:numPr>
        <w:shd w:val="clear" w:color="auto" w:fill="FFFFFF"/>
        <w:spacing w:beforeAutospacing="0" w:afterAutospacing="0" w:line="360" w:lineRule="auto"/>
        <w:ind w:firstLine="555" w:firstLineChars="0"/>
        <w:jc w:val="both"/>
        <w:rPr>
          <w:rFonts w:hint="eastAsia" w:ascii="仿宋_GB2312" w:hAnsi="仿宋_GB2312" w:eastAsia="仿宋_GB2312" w:cs="仿宋_GB2312"/>
          <w:color w:val="333333"/>
          <w:sz w:val="28"/>
          <w:szCs w:val="28"/>
          <w:highlight w:val="none"/>
          <w:shd w:val="clear" w:color="auto" w:fill="FFFFFF"/>
          <w:lang w:val="en-US" w:eastAsia="zh-CN"/>
        </w:rPr>
      </w:pPr>
      <w:r>
        <w:rPr>
          <w:rFonts w:hint="eastAsia" w:ascii="仿宋_GB2312" w:hAnsi="仿宋_GB2312" w:eastAsia="仿宋_GB2312" w:cs="仿宋_GB2312"/>
          <w:color w:val="333333"/>
          <w:sz w:val="28"/>
          <w:szCs w:val="28"/>
          <w:highlight w:val="none"/>
          <w:shd w:val="clear" w:color="auto" w:fill="FFFFFF"/>
          <w:lang w:val="en-US" w:eastAsia="zh-CN"/>
        </w:rPr>
        <w:t>3.竞买人报名参与本次拍卖的，即视为认可并接受本次拍卖标的的一切现状及起拍价格，须参与后续的竞价程序。若只有一家竞买人报名参与竞拍的将视为竞买人同意以底价成交的方式处置该资产，成交价格为挂牌价;若产生两家及两家以上的竞买人报名参与竞拍的，采用网络拍卖，价高者得的方式处置该资产；在规定的竞价时间内各竞买人如均不应价的，则保证金到账济南产权交易服务有限公司时间最早的且通过资格审核的意向竞买人将被确定为最终买受人（保证金以到账时间为准），成交价格为挂牌价。交易方式详见《拍卖规则》。</w:t>
      </w:r>
    </w:p>
    <w:p w14:paraId="1B07E858">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333333"/>
          <w:sz w:val="28"/>
          <w:szCs w:val="28"/>
          <w:highlight w:val="none"/>
          <w:shd w:val="clear" w:color="auto" w:fill="FFFFFF"/>
        </w:rPr>
      </w:pPr>
      <w:r>
        <w:rPr>
          <w:rFonts w:hint="eastAsia" w:ascii="仿宋_GB2312" w:hAnsi="仿宋_GB2312" w:eastAsia="仿宋_GB2312" w:cs="仿宋_GB2312"/>
          <w:color w:val="333333"/>
          <w:sz w:val="28"/>
          <w:szCs w:val="28"/>
          <w:highlight w:val="none"/>
          <w:shd w:val="clear" w:color="auto" w:fill="FFFFFF"/>
          <w:lang w:val="en-US" w:eastAsia="zh-CN" w:bidi="ar"/>
        </w:rPr>
        <w:t>4</w:t>
      </w:r>
      <w:r>
        <w:rPr>
          <w:rFonts w:hint="eastAsia" w:ascii="仿宋_GB2312" w:hAnsi="仿宋_GB2312" w:eastAsia="仿宋_GB2312" w:cs="仿宋_GB2312"/>
          <w:color w:val="333333"/>
          <w:sz w:val="28"/>
          <w:szCs w:val="28"/>
          <w:highlight w:val="none"/>
          <w:shd w:val="clear" w:color="auto" w:fill="FFFFFF"/>
          <w:lang w:eastAsia="zh-CN" w:bidi="ar"/>
        </w:rPr>
        <w:t>.</w:t>
      </w:r>
      <w:r>
        <w:rPr>
          <w:rFonts w:hint="eastAsia" w:ascii="仿宋_GB2312" w:hAnsi="仿宋_GB2312" w:eastAsia="仿宋_GB2312" w:cs="仿宋_GB2312"/>
          <w:color w:val="333333"/>
          <w:sz w:val="28"/>
          <w:szCs w:val="28"/>
          <w:highlight w:val="none"/>
          <w:shd w:val="clear" w:color="auto" w:fill="FFFFFF"/>
        </w:rPr>
        <w:t>竞买人进场施工顺序须服从转让方安排，</w:t>
      </w:r>
      <w:r>
        <w:rPr>
          <w:rFonts w:hint="eastAsia" w:ascii="仿宋_GB2312" w:hAnsi="仿宋_GB2312" w:eastAsia="仿宋_GB2312" w:cs="仿宋_GB2312"/>
          <w:color w:val="333333"/>
          <w:sz w:val="28"/>
          <w:szCs w:val="28"/>
          <w:highlight w:val="none"/>
          <w:shd w:val="clear" w:color="auto" w:fill="FFFFFF"/>
          <w:lang w:val="en-US" w:eastAsia="zh-CN"/>
        </w:rPr>
        <w:t>标的物所在存放地</w:t>
      </w:r>
      <w:r>
        <w:rPr>
          <w:rFonts w:hint="eastAsia" w:ascii="仿宋_GB2312" w:hAnsi="仿宋_GB2312" w:eastAsia="仿宋_GB2312" w:cs="仿宋_GB2312"/>
          <w:color w:val="333333"/>
          <w:sz w:val="28"/>
          <w:szCs w:val="28"/>
          <w:highlight w:val="none"/>
          <w:shd w:val="clear" w:color="auto" w:fill="FFFFFF"/>
        </w:rPr>
        <w:t>外的道路、场地为公用地段不得随意圈占场地，已拆除的设备须随拆随运不得在现场随意堆放。不允许在现场二次加工，特殊情况确实需要临时存放的须经转让方同意后在指定的时间、地点存放。</w:t>
      </w:r>
    </w:p>
    <w:p w14:paraId="5531ECCF">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333333"/>
          <w:sz w:val="28"/>
          <w:szCs w:val="28"/>
          <w:highlight w:val="none"/>
          <w:shd w:val="clear" w:color="auto" w:fill="FFFFFF"/>
        </w:rPr>
      </w:pPr>
      <w:r>
        <w:rPr>
          <w:rFonts w:hint="eastAsia" w:ascii="仿宋_GB2312" w:hAnsi="仿宋_GB2312" w:eastAsia="仿宋_GB2312" w:cs="仿宋_GB2312"/>
          <w:color w:val="333333"/>
          <w:sz w:val="28"/>
          <w:szCs w:val="28"/>
          <w:highlight w:val="none"/>
          <w:shd w:val="clear" w:color="auto" w:fill="FFFFFF"/>
          <w:lang w:val="en-US" w:eastAsia="zh-CN" w:bidi="ar"/>
        </w:rPr>
        <w:t>5</w:t>
      </w:r>
      <w:r>
        <w:rPr>
          <w:rFonts w:hint="eastAsia" w:ascii="仿宋_GB2312" w:hAnsi="仿宋_GB2312" w:eastAsia="仿宋_GB2312" w:cs="仿宋_GB2312"/>
          <w:color w:val="333333"/>
          <w:sz w:val="28"/>
          <w:szCs w:val="28"/>
          <w:highlight w:val="none"/>
          <w:shd w:val="clear" w:color="auto" w:fill="FFFFFF"/>
          <w:lang w:eastAsia="zh-CN" w:bidi="ar"/>
        </w:rPr>
        <w:t>.</w:t>
      </w:r>
      <w:r>
        <w:rPr>
          <w:rFonts w:hint="eastAsia" w:ascii="仿宋_GB2312" w:hAnsi="仿宋_GB2312" w:eastAsia="仿宋_GB2312" w:cs="仿宋_GB2312"/>
          <w:color w:val="333333"/>
          <w:sz w:val="28"/>
          <w:szCs w:val="28"/>
          <w:highlight w:val="none"/>
          <w:shd w:val="clear" w:color="auto" w:fill="FFFFFF"/>
          <w:lang w:eastAsia="zh-CN"/>
        </w:rPr>
        <w:t>竞买人</w:t>
      </w:r>
      <w:r>
        <w:rPr>
          <w:rFonts w:hint="eastAsia" w:ascii="仿宋_GB2312" w:hAnsi="仿宋_GB2312" w:eastAsia="仿宋_GB2312" w:cs="仿宋_GB2312"/>
          <w:color w:val="333333"/>
          <w:sz w:val="28"/>
          <w:szCs w:val="28"/>
          <w:highlight w:val="none"/>
          <w:shd w:val="clear" w:color="auto" w:fill="FFFFFF"/>
        </w:rPr>
        <w:t>在转让方场地的现场施工应严格执行国家及转让方有关安全、环保、消防等方面的规章制度。</w:t>
      </w:r>
    </w:p>
    <w:p w14:paraId="0087272A">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333333"/>
          <w:kern w:val="2"/>
          <w:sz w:val="28"/>
          <w:szCs w:val="28"/>
          <w:highlight w:val="none"/>
          <w:shd w:val="clear" w:color="auto" w:fill="FFFFFF"/>
          <w:lang w:val="en-US" w:eastAsia="zh-CN" w:bidi="ar"/>
        </w:rPr>
      </w:pPr>
      <w:r>
        <w:rPr>
          <w:rFonts w:hint="eastAsia" w:ascii="仿宋_GB2312" w:hAnsi="仿宋_GB2312" w:eastAsia="仿宋_GB2312" w:cs="仿宋_GB2312"/>
          <w:color w:val="333333"/>
          <w:sz w:val="28"/>
          <w:szCs w:val="28"/>
          <w:highlight w:val="none"/>
          <w:shd w:val="clear" w:color="auto" w:fill="FFFFFF"/>
          <w:lang w:val="en-US" w:eastAsia="zh-CN"/>
        </w:rPr>
        <w:t>6</w:t>
      </w:r>
      <w:r>
        <w:rPr>
          <w:rFonts w:hint="eastAsia" w:ascii="仿宋_GB2312" w:hAnsi="仿宋_GB2312" w:eastAsia="仿宋_GB2312" w:cs="仿宋_GB2312"/>
          <w:color w:val="333333"/>
          <w:sz w:val="28"/>
          <w:szCs w:val="28"/>
          <w:highlight w:val="none"/>
          <w:shd w:val="clear" w:color="auto" w:fill="FFFFFF"/>
          <w:lang w:eastAsia="zh-CN"/>
        </w:rPr>
        <w:t>.</w:t>
      </w:r>
      <w:r>
        <w:rPr>
          <w:rFonts w:hint="eastAsia" w:ascii="仿宋_GB2312" w:hAnsi="仿宋_GB2312" w:eastAsia="仿宋_GB2312" w:cs="仿宋_GB2312"/>
          <w:color w:val="333333"/>
          <w:sz w:val="28"/>
          <w:szCs w:val="28"/>
          <w:highlight w:val="none"/>
          <w:shd w:val="clear" w:color="auto" w:fill="FFFFFF"/>
        </w:rPr>
        <w:t>竞买人须承诺，被确定为最终</w:t>
      </w:r>
      <w:r>
        <w:rPr>
          <w:rFonts w:hint="eastAsia" w:ascii="仿宋_GB2312" w:hAnsi="仿宋_GB2312" w:eastAsia="仿宋_GB2312" w:cs="仿宋_GB2312"/>
          <w:color w:val="333333"/>
          <w:sz w:val="28"/>
          <w:szCs w:val="28"/>
          <w:highlight w:val="none"/>
          <w:shd w:val="clear" w:color="auto" w:fill="FFFFFF"/>
          <w:lang w:val="en-US" w:eastAsia="zh-CN"/>
        </w:rPr>
        <w:t>买受方</w:t>
      </w:r>
      <w:r>
        <w:rPr>
          <w:rFonts w:hint="eastAsia" w:ascii="仿宋_GB2312" w:hAnsi="仿宋_GB2312" w:eastAsia="仿宋_GB2312" w:cs="仿宋_GB2312"/>
          <w:color w:val="333333"/>
          <w:sz w:val="28"/>
          <w:szCs w:val="28"/>
          <w:highlight w:val="none"/>
          <w:shd w:val="clear" w:color="auto" w:fill="FFFFFF"/>
        </w:rPr>
        <w:t>后</w:t>
      </w:r>
      <w:r>
        <w:rPr>
          <w:rFonts w:hint="eastAsia" w:ascii="仿宋_GB2312" w:hAnsi="仿宋_GB2312" w:eastAsia="仿宋_GB2312" w:cs="仿宋_GB2312"/>
          <w:color w:val="333333"/>
          <w:kern w:val="2"/>
          <w:sz w:val="28"/>
          <w:szCs w:val="28"/>
          <w:highlight w:val="none"/>
          <w:shd w:val="clear" w:color="auto" w:fill="FFFFFF"/>
          <w:lang w:val="en-US" w:eastAsia="zh-CN" w:bidi="ar"/>
        </w:rPr>
        <w:t>须于拍卖成交之日起</w:t>
      </w:r>
      <w:r>
        <w:rPr>
          <w:rFonts w:hint="eastAsia" w:ascii="仿宋_GB2312" w:hAnsi="仿宋_GB2312" w:eastAsia="仿宋_GB2312" w:cs="仿宋_GB2312"/>
          <w:b/>
          <w:bCs/>
          <w:color w:val="333333"/>
          <w:kern w:val="2"/>
          <w:sz w:val="28"/>
          <w:szCs w:val="28"/>
          <w:highlight w:val="none"/>
          <w:u w:val="single"/>
          <w:shd w:val="clear" w:color="auto" w:fill="FFFFFF"/>
          <w:lang w:val="en-US" w:eastAsia="zh-CN" w:bidi="ar"/>
        </w:rPr>
        <w:t>5</w:t>
      </w:r>
      <w:r>
        <w:rPr>
          <w:rFonts w:hint="eastAsia" w:ascii="仿宋_GB2312" w:hAnsi="仿宋_GB2312" w:eastAsia="仿宋_GB2312" w:cs="仿宋_GB2312"/>
          <w:color w:val="333333"/>
          <w:kern w:val="2"/>
          <w:sz w:val="28"/>
          <w:szCs w:val="28"/>
          <w:highlight w:val="none"/>
          <w:shd w:val="clear" w:color="auto" w:fill="FFFFFF"/>
          <w:lang w:val="en-US" w:eastAsia="zh-CN" w:bidi="ar"/>
        </w:rPr>
        <w:t>日内</w:t>
      </w:r>
      <w:r>
        <w:rPr>
          <w:rFonts w:hint="eastAsia" w:ascii="仿宋_GB2312" w:hAnsi="仿宋_GB2312" w:eastAsia="仿宋_GB2312" w:cs="仿宋_GB2312"/>
          <w:b/>
          <w:bCs/>
          <w:color w:val="333333"/>
          <w:kern w:val="2"/>
          <w:sz w:val="28"/>
          <w:szCs w:val="28"/>
          <w:highlight w:val="none"/>
          <w:u w:val="single"/>
          <w:shd w:val="clear" w:color="auto" w:fill="FFFFFF"/>
          <w:lang w:val="en-US" w:eastAsia="zh-CN" w:bidi="ar"/>
        </w:rPr>
        <w:t>一次性</w:t>
      </w:r>
      <w:r>
        <w:rPr>
          <w:rFonts w:hint="eastAsia" w:ascii="仿宋_GB2312" w:hAnsi="仿宋_GB2312" w:eastAsia="仿宋_GB2312" w:cs="仿宋_GB2312"/>
          <w:color w:val="333333"/>
          <w:kern w:val="2"/>
          <w:sz w:val="28"/>
          <w:szCs w:val="28"/>
          <w:highlight w:val="none"/>
          <w:shd w:val="clear" w:color="auto" w:fill="FFFFFF"/>
          <w:lang w:val="en-US" w:eastAsia="zh-CN" w:bidi="ar"/>
        </w:rPr>
        <w:t>将全部应付交易价款支付至济南产权交易平台指定账户，济南产权交易平台收到价款后</w:t>
      </w:r>
      <w:r>
        <w:rPr>
          <w:rFonts w:hint="eastAsia" w:ascii="仿宋_GB2312" w:hAnsi="仿宋_GB2312" w:eastAsia="仿宋_GB2312" w:cs="仿宋_GB2312"/>
          <w:b/>
          <w:bCs/>
          <w:color w:val="333333"/>
          <w:kern w:val="2"/>
          <w:sz w:val="28"/>
          <w:szCs w:val="28"/>
          <w:highlight w:val="none"/>
          <w:u w:val="single"/>
          <w:shd w:val="clear" w:color="auto" w:fill="FFFFFF"/>
          <w:lang w:val="en-US" w:eastAsia="zh-CN" w:bidi="ar"/>
        </w:rPr>
        <w:t xml:space="preserve"> 5</w:t>
      </w:r>
      <w:r>
        <w:rPr>
          <w:rFonts w:hint="eastAsia" w:ascii="仿宋_GB2312" w:hAnsi="仿宋_GB2312" w:eastAsia="仿宋_GB2312" w:cs="仿宋_GB2312"/>
          <w:color w:val="333333"/>
          <w:kern w:val="2"/>
          <w:sz w:val="28"/>
          <w:szCs w:val="28"/>
          <w:highlight w:val="none"/>
          <w:u w:val="single"/>
          <w:shd w:val="clear" w:color="auto" w:fill="FFFFFF"/>
          <w:lang w:val="en-US" w:eastAsia="zh-CN" w:bidi="ar"/>
        </w:rPr>
        <w:t xml:space="preserve"> </w:t>
      </w:r>
      <w:r>
        <w:rPr>
          <w:rFonts w:hint="eastAsia" w:ascii="仿宋_GB2312" w:hAnsi="仿宋_GB2312" w:eastAsia="仿宋_GB2312" w:cs="仿宋_GB2312"/>
          <w:color w:val="333333"/>
          <w:kern w:val="2"/>
          <w:sz w:val="28"/>
          <w:szCs w:val="28"/>
          <w:highlight w:val="none"/>
          <w:shd w:val="clear" w:color="auto" w:fill="FFFFFF"/>
          <w:lang w:val="en-US" w:eastAsia="zh-CN" w:bidi="ar"/>
        </w:rPr>
        <w:t>日内协调竞买人与转让方签署《资产交易合同》，竞买人逾期不签署合同、不支付相关交易费用的行为，视为竞买人自动放弃最终受让资格，已缴纳的保证金不予退还，并赔偿再次拍卖的相关费用和差价损失。</w:t>
      </w:r>
    </w:p>
    <w:p w14:paraId="51DCFF3F">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333333"/>
          <w:kern w:val="2"/>
          <w:sz w:val="28"/>
          <w:szCs w:val="28"/>
          <w:highlight w:val="none"/>
          <w:shd w:val="clear" w:color="auto" w:fill="FFFFFF"/>
          <w:lang w:val="en-US" w:eastAsia="zh-CN" w:bidi="ar"/>
        </w:rPr>
      </w:pPr>
      <w:r>
        <w:rPr>
          <w:rFonts w:hint="eastAsia" w:ascii="仿宋_GB2312" w:hAnsi="仿宋_GB2312" w:eastAsia="仿宋_GB2312" w:cs="仿宋_GB2312"/>
          <w:color w:val="333333"/>
          <w:kern w:val="2"/>
          <w:sz w:val="28"/>
          <w:szCs w:val="28"/>
          <w:highlight w:val="none"/>
          <w:shd w:val="clear" w:color="auto" w:fill="FFFFFF"/>
          <w:lang w:val="en-US" w:eastAsia="zh-CN" w:bidi="ar"/>
        </w:rPr>
        <w:t>7.自《资产交易合同》签订之日起</w:t>
      </w:r>
      <w:r>
        <w:rPr>
          <w:rFonts w:hint="eastAsia" w:ascii="仿宋_GB2312" w:hAnsi="仿宋_GB2312" w:eastAsia="仿宋_GB2312" w:cs="仿宋_GB2312"/>
          <w:b/>
          <w:bCs/>
          <w:color w:val="333333"/>
          <w:kern w:val="2"/>
          <w:sz w:val="28"/>
          <w:szCs w:val="28"/>
          <w:highlight w:val="none"/>
          <w:u w:val="single"/>
          <w:shd w:val="clear" w:color="auto" w:fill="FFFFFF"/>
          <w:lang w:val="en-US" w:eastAsia="zh-CN" w:bidi="ar"/>
        </w:rPr>
        <w:t>5</w:t>
      </w:r>
      <w:r>
        <w:rPr>
          <w:rFonts w:hint="eastAsia" w:ascii="仿宋_GB2312" w:hAnsi="仿宋_GB2312" w:eastAsia="仿宋_GB2312" w:cs="仿宋_GB2312"/>
          <w:color w:val="333333"/>
          <w:kern w:val="2"/>
          <w:sz w:val="28"/>
          <w:szCs w:val="28"/>
          <w:highlight w:val="none"/>
          <w:shd w:val="clear" w:color="auto" w:fill="FFFFFF"/>
          <w:lang w:val="en-US" w:eastAsia="zh-CN" w:bidi="ar"/>
        </w:rPr>
        <w:t>日内竞买人须</w:t>
      </w:r>
      <w:r>
        <w:rPr>
          <w:rFonts w:hint="eastAsia" w:ascii="仿宋_GB2312" w:hAnsi="仿宋_GB2312" w:eastAsia="仿宋_GB2312" w:cs="仿宋_GB2312"/>
          <w:b/>
          <w:bCs/>
          <w:color w:val="333333"/>
          <w:kern w:val="2"/>
          <w:sz w:val="28"/>
          <w:szCs w:val="28"/>
          <w:highlight w:val="none"/>
          <w:u w:val="single"/>
          <w:shd w:val="clear" w:color="auto" w:fill="FFFFFF"/>
          <w:lang w:val="en-US" w:eastAsia="zh-CN" w:bidi="ar"/>
        </w:rPr>
        <w:t>一次性</w:t>
      </w:r>
      <w:r>
        <w:rPr>
          <w:rFonts w:hint="eastAsia" w:ascii="仿宋_GB2312" w:hAnsi="仿宋_GB2312" w:eastAsia="仿宋_GB2312" w:cs="仿宋_GB2312"/>
          <w:color w:val="333333"/>
          <w:kern w:val="2"/>
          <w:sz w:val="28"/>
          <w:szCs w:val="28"/>
          <w:highlight w:val="none"/>
          <w:shd w:val="clear" w:color="auto" w:fill="FFFFFF"/>
          <w:lang w:val="en-US" w:eastAsia="zh-CN" w:bidi="ar"/>
        </w:rPr>
        <w:t>向</w:t>
      </w:r>
      <w:r>
        <w:rPr>
          <w:rFonts w:hint="eastAsia" w:ascii="仿宋_GB2312" w:hAnsi="仿宋_GB2312" w:eastAsia="仿宋_GB2312" w:cs="仿宋_GB2312"/>
          <w:b/>
          <w:bCs/>
          <w:color w:val="333333"/>
          <w:kern w:val="2"/>
          <w:sz w:val="28"/>
          <w:szCs w:val="28"/>
          <w:highlight w:val="none"/>
          <w:u w:val="single"/>
          <w:shd w:val="clear" w:color="auto" w:fill="FFFFFF"/>
          <w:lang w:val="en-US" w:eastAsia="zh-CN" w:bidi="ar"/>
        </w:rPr>
        <w:t>转让方</w:t>
      </w:r>
      <w:r>
        <w:rPr>
          <w:rFonts w:hint="eastAsia" w:ascii="仿宋_GB2312" w:hAnsi="仿宋_GB2312" w:eastAsia="仿宋_GB2312" w:cs="仿宋_GB2312"/>
          <w:color w:val="333333"/>
          <w:kern w:val="2"/>
          <w:sz w:val="28"/>
          <w:szCs w:val="28"/>
          <w:highlight w:val="none"/>
          <w:shd w:val="clear" w:color="auto" w:fill="FFFFFF"/>
          <w:lang w:val="en-US" w:eastAsia="zh-CN" w:bidi="ar"/>
        </w:rPr>
        <w:t>指定账户支付履约保证金540万，作为施工过程履约保证金。</w:t>
      </w:r>
    </w:p>
    <w:p w14:paraId="0344DD0D">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8.本次废旧资产须在《资产交易合同》签署后，须于</w:t>
      </w:r>
      <w:r>
        <w:rPr>
          <w:rFonts w:hint="eastAsia" w:ascii="仿宋_GB2312" w:hAnsi="仿宋_GB2312" w:eastAsia="仿宋_GB2312" w:cs="仿宋_GB2312"/>
          <w:color w:val="auto"/>
          <w:sz w:val="28"/>
          <w:szCs w:val="28"/>
          <w:highlight w:val="none"/>
          <w:u w:val="single"/>
          <w:shd w:val="clear" w:color="auto" w:fill="FFFFFF"/>
          <w:lang w:val="en-US" w:eastAsia="zh-CN"/>
        </w:rPr>
        <w:t>105个</w:t>
      </w:r>
      <w:r>
        <w:rPr>
          <w:rFonts w:hint="eastAsia" w:ascii="仿宋_GB2312" w:hAnsi="仿宋_GB2312" w:eastAsia="仿宋_GB2312" w:cs="仿宋_GB2312"/>
          <w:color w:val="auto"/>
          <w:sz w:val="28"/>
          <w:szCs w:val="28"/>
          <w:highlight w:val="none"/>
          <w:shd w:val="clear" w:color="auto" w:fill="FFFFFF"/>
          <w:lang w:val="en-US" w:eastAsia="zh-CN"/>
        </w:rPr>
        <w:t>日历日内完成标的物的拆除、迁移工作。请竞买人综合考虑资产交易产生的设备设施拆除、迁移、清运回收过程中涉及的环保、消防、城管、安全、车辆、机械、装卸、人员等问题，上述问题产生的相关费用均由竞买人自行承担。</w:t>
      </w:r>
    </w:p>
    <w:p w14:paraId="6C2FCACC">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9.遇极端天气时，竞买人或雇佣的施工单位须按转让方要求暂停施工，并落实各项应急处置措施。</w:t>
      </w:r>
    </w:p>
    <w:p w14:paraId="20F68A35">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10.转让方已尽到风险告知义务。竞买人成为合格买受人后，自买受人与转让方签订《资产交易合同》之日起，本项目标的资产所有权、管理权正式转移，拆除施工区域内安全、环保、职业健康、废弃物清运处置、现场施工管控等全部风险及法定责任，统一由买受人承担。买受人为本标的物安全责任主体，对拆除区域内人员、机具、设备、设施及施工全过程负全面安全、环保主体责任。相关责任及施工要求具体详见附件《济南热电集团有限公司金鸡岭厂区废旧资产一宗转让项目责任告知书》。</w:t>
      </w:r>
    </w:p>
    <w:p w14:paraId="64CFE56E">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11.竞买人报名参与本次拍卖的，即视为已通过现场踏勘等方式，对标的资产的全部现状（包括但不限于数量、质量、性能、瑕疵等）予以充分认可和接受，成交后约定期限内不签订合同或悔拍的，竞买保证金作为违约赔偿金，不予退还。</w:t>
      </w:r>
    </w:p>
    <w:p w14:paraId="2A4D03B7">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12.竞买人成为合格买受人后，须按照《资产交易合同》约定期限内完成标的物拆除和清运工作，否则承担违约责任。买受人进场拆除期间，转让方依然保留随时进出厂区、办公的权利。</w:t>
      </w:r>
    </w:p>
    <w:p w14:paraId="6104D133">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13.本次挂牌价格为含税价。由转让方按照现行法律法规向买受人开具相应税率的增值税发票。</w:t>
      </w:r>
    </w:p>
    <w:p w14:paraId="04A0A1F7">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14.买受人须于进场施工前到主管部门进行施工报备。因未进行报备给转让方造成的任何负面影响转让人保留追诉追偿的权利。安全环保责任详见：附件《济南热电集团有限公司金鸡岭厂区废旧资产一宗转让项目责任告知书》。</w:t>
      </w:r>
    </w:p>
    <w:p w14:paraId="1AE09A32">
      <w:pPr>
        <w:spacing w:line="360" w:lineRule="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二、竞买人资质</w:t>
      </w:r>
    </w:p>
    <w:p w14:paraId="6EE2D349">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1.竞买人须为依法设立并有效存续的企业法人，具有良好的财务状况和支付能力，不接受自然人、个体工商户、联合体。</w:t>
      </w:r>
    </w:p>
    <w:p w14:paraId="233C53FC">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2.竞买人须具有良好的商业信誉，未被司法机关及其他单位列为失信被执行人，在经营活动中无重大违法记录（提供“信用中国 ”无不良记录证明、“ 中国裁判文书网 ”无违法记录证明）。</w:t>
      </w:r>
    </w:p>
    <w:p w14:paraId="10307624">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kern w:val="2"/>
          <w:sz w:val="28"/>
          <w:szCs w:val="28"/>
          <w:highlight w:val="none"/>
          <w:shd w:val="clear" w:color="auto" w:fill="FFFFFF"/>
          <w:lang w:val="en-US" w:eastAsia="zh-CN" w:bidi="ar"/>
        </w:rPr>
      </w:pPr>
      <w:r>
        <w:rPr>
          <w:rFonts w:hint="eastAsia" w:ascii="仿宋_GB2312" w:hAnsi="仿宋_GB2312" w:eastAsia="仿宋_GB2312" w:cs="仿宋_GB2312"/>
          <w:color w:val="auto"/>
          <w:kern w:val="2"/>
          <w:sz w:val="28"/>
          <w:szCs w:val="28"/>
          <w:highlight w:val="none"/>
          <w:shd w:val="clear" w:color="auto" w:fill="FFFFFF"/>
          <w:lang w:val="en-US" w:eastAsia="zh-CN" w:bidi="ar"/>
        </w:rPr>
        <w:t>3.超危大工程拆除施工单位须具备建筑工程施工总承包二级及以上相应资质证书、安全生产许可证，具备履行合同的专业技术人员及设备，近3年内无重大及以上生产安全事故，无因违法违规被建设行政主管部门行政处罚且在公示期内的记录，无失信被执行人记录。报名时间截止前提交符合转让人施工计划的可行性施工方案（盖意向受让方公章）。</w:t>
      </w:r>
    </w:p>
    <w:p w14:paraId="7E2387D5">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4.标的资产涉及废弃物品的处理，竞买人须具备相关资质或处置能力或委托具有相关处置资质的单位处理，处理过程须符合相关法律法规。</w:t>
      </w:r>
    </w:p>
    <w:p w14:paraId="6F3ABBEE">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5.受让方（或雇佣的施工单位）须配备驻场项目经理1名、3名以上安全员（由应急管理单位或住建部门颁发），以上人员还须提供本单位社保缴纳证明及身份证原件。以上资质文件复印件加盖竞买人公章，同时提供上述文件真伪查询件及查询网址说明(加盖竞买人公章)。</w:t>
      </w:r>
    </w:p>
    <w:p w14:paraId="343726B5">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6.意向受让方成为受让方后须出具《超危大工程专项方案》，《超危大工程专项方案》需经不少于5名专家（济南市住建局危大工程专家库）评审，转让方保留对施工方案审核的权利，施工方案需要修改优化的受让方应进行修改优化。</w:t>
      </w:r>
    </w:p>
    <w:p w14:paraId="7260982F">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7.本次拍卖标的属国有资产，于2026年6月12日至7月10日在济南产权交易服务有限公司网站（https://www.jncq.com）公开挂牌公示，竞买人须满足各标的交易公告中关于交易说明、特别事项披露的有关要求。</w:t>
      </w:r>
    </w:p>
    <w:p w14:paraId="569345F8">
      <w:pPr>
        <w:pStyle w:val="9"/>
        <w:widowControl/>
        <w:shd w:val="clear" w:color="auto" w:fill="FFFFFF"/>
        <w:spacing w:beforeAutospacing="0" w:afterAutospacing="0" w:line="360" w:lineRule="auto"/>
        <w:ind w:firstLine="555"/>
        <w:jc w:val="both"/>
        <w:rPr>
          <w:rFonts w:hint="eastAsia"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8.因竞买人不符合资格条件、不具备履约能力或提交虚假（编造、伪造）资料参与报名的，须承担全部法律和经济责任。</w:t>
      </w:r>
    </w:p>
    <w:p w14:paraId="37F28D83">
      <w:pPr>
        <w:spacing w:line="360" w:lineRule="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三、竞买保证金与履约保证金</w:t>
      </w:r>
    </w:p>
    <w:p w14:paraId="443A143A">
      <w:pPr>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一</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竞买保证金</w:t>
      </w:r>
    </w:p>
    <w:p w14:paraId="4933FDA6">
      <w:pPr>
        <w:spacing w:line="360" w:lineRule="auto"/>
        <w:ind w:firstLine="560" w:firstLineChars="200"/>
        <w:jc w:val="left"/>
        <w:rPr>
          <w:rFonts w:hint="eastAsia"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sz w:val="28"/>
          <w:szCs w:val="28"/>
          <w:highlight w:val="none"/>
        </w:rPr>
        <w:t>意向</w:t>
      </w:r>
      <w:r>
        <w:rPr>
          <w:rFonts w:hint="eastAsia" w:ascii="仿宋_GB2312" w:hAnsi="仿宋_GB2312" w:eastAsia="仿宋_GB2312" w:cs="仿宋_GB2312"/>
          <w:color w:val="333333"/>
          <w:spacing w:val="3"/>
          <w:sz w:val="28"/>
          <w:szCs w:val="28"/>
          <w:highlight w:val="none"/>
        </w:rPr>
        <w:t>竞买人</w:t>
      </w:r>
      <w:r>
        <w:rPr>
          <w:rFonts w:hint="eastAsia" w:ascii="仿宋_GB2312" w:hAnsi="仿宋_GB2312" w:eastAsia="仿宋_GB2312" w:cs="仿宋_GB2312"/>
          <w:sz w:val="28"/>
          <w:szCs w:val="28"/>
          <w:highlight w:val="none"/>
        </w:rPr>
        <w:t>须</w:t>
      </w:r>
      <w:r>
        <w:rPr>
          <w:rFonts w:hint="eastAsia" w:ascii="仿宋_GB2312" w:hAnsi="仿宋_GB2312" w:eastAsia="仿宋_GB2312" w:cs="仿宋_GB2312"/>
          <w:sz w:val="28"/>
          <w:szCs w:val="28"/>
          <w:highlight w:val="none"/>
          <w:lang w:val="en-US" w:eastAsia="zh-CN"/>
        </w:rPr>
        <w:t>参</w:t>
      </w:r>
      <w:r>
        <w:rPr>
          <w:rFonts w:hint="eastAsia" w:ascii="仿宋_GB2312" w:hAnsi="仿宋_GB2312" w:eastAsia="仿宋_GB2312" w:cs="仿宋_GB2312"/>
          <w:color w:val="auto"/>
          <w:sz w:val="28"/>
          <w:szCs w:val="28"/>
          <w:highlight w:val="none"/>
          <w:lang w:val="en-US" w:eastAsia="zh-CN"/>
        </w:rPr>
        <w:t>与竞拍的须于2026年</w:t>
      </w:r>
      <w:r>
        <w:rPr>
          <w:rFonts w:hint="eastAsia" w:ascii="仿宋_GB2312" w:hAnsi="仿宋_GB2312" w:eastAsia="仿宋_GB2312" w:cs="仿宋_GB2312"/>
          <w:color w:val="auto"/>
          <w:sz w:val="28"/>
          <w:szCs w:val="28"/>
          <w:highlight w:val="none"/>
          <w:shd w:val="clear" w:color="auto" w:fill="FFFFFF"/>
          <w:lang w:val="en-US" w:eastAsia="zh-CN"/>
        </w:rPr>
        <w:t>7月10日</w:t>
      </w:r>
      <w:r>
        <w:rPr>
          <w:rFonts w:hint="eastAsia" w:ascii="仿宋_GB2312" w:hAnsi="仿宋_GB2312" w:eastAsia="仿宋_GB2312" w:cs="仿宋_GB2312"/>
          <w:color w:val="auto"/>
          <w:sz w:val="28"/>
          <w:szCs w:val="28"/>
          <w:highlight w:val="none"/>
          <w:lang w:val="en-US" w:eastAsia="zh-CN"/>
        </w:rPr>
        <w:t>17时前</w:t>
      </w:r>
      <w:r>
        <w:rPr>
          <w:rFonts w:hint="eastAsia" w:ascii="仿宋_GB2312" w:hAnsi="仿宋_GB2312" w:eastAsia="仿宋_GB2312" w:cs="仿宋_GB2312"/>
          <w:color w:val="auto"/>
          <w:sz w:val="28"/>
          <w:szCs w:val="28"/>
          <w:highlight w:val="none"/>
        </w:rPr>
        <w:t>交纳</w:t>
      </w:r>
      <w:r>
        <w:rPr>
          <w:rFonts w:hint="eastAsia" w:ascii="仿宋_GB2312" w:hAnsi="仿宋_GB2312" w:eastAsia="仿宋_GB2312" w:cs="仿宋_GB2312"/>
          <w:color w:val="auto"/>
          <w:sz w:val="28"/>
          <w:szCs w:val="28"/>
          <w:highlight w:val="none"/>
          <w:lang w:val="en-US" w:eastAsia="zh-CN"/>
        </w:rPr>
        <w:t>竞买</w:t>
      </w:r>
      <w:r>
        <w:rPr>
          <w:rFonts w:hint="eastAsia" w:ascii="仿宋_GB2312" w:hAnsi="仿宋_GB2312" w:eastAsia="仿宋_GB2312" w:cs="仿宋_GB2312"/>
          <w:color w:val="auto"/>
          <w:sz w:val="28"/>
          <w:szCs w:val="28"/>
          <w:highlight w:val="none"/>
        </w:rPr>
        <w:t>保证金</w:t>
      </w:r>
      <w:r>
        <w:rPr>
          <w:rFonts w:hint="eastAsia" w:ascii="仿宋_GB2312" w:hAnsi="仿宋_GB2312" w:eastAsia="仿宋_GB2312" w:cs="仿宋_GB2312"/>
          <w:color w:val="auto"/>
          <w:sz w:val="28"/>
          <w:szCs w:val="28"/>
          <w:highlight w:val="none"/>
          <w:lang w:val="en-US" w:eastAsia="zh-CN"/>
        </w:rPr>
        <w:t>1982</w:t>
      </w:r>
      <w:r>
        <w:rPr>
          <w:rFonts w:hint="eastAsia" w:ascii="仿宋_GB2312" w:hAnsi="仿宋_GB2312" w:eastAsia="仿宋_GB2312" w:cs="仿宋_GB2312"/>
          <w:color w:val="auto"/>
          <w:sz w:val="28"/>
          <w:szCs w:val="28"/>
          <w:highlight w:val="none"/>
        </w:rPr>
        <w:t>万元</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按照以下方式缴纳足额竞买保证金</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b w:val="0"/>
          <w:bCs w:val="0"/>
          <w:sz w:val="28"/>
          <w:szCs w:val="28"/>
          <w:highlight w:val="none"/>
          <w:lang w:val="en-US" w:eastAsia="zh-CN"/>
        </w:rPr>
        <w:t>其中:</w:t>
      </w:r>
    </w:p>
    <w:p w14:paraId="78C87231">
      <w:pPr>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b w:val="0"/>
          <w:bCs w:val="0"/>
          <w:sz w:val="28"/>
          <w:szCs w:val="28"/>
          <w:highlight w:val="none"/>
          <w:lang w:val="en-US" w:eastAsia="zh-CN"/>
        </w:rPr>
        <w:t>594万元转入济南产权交易服务有限公司指定收款账户：</w:t>
      </w:r>
    </w:p>
    <w:p w14:paraId="12A76387">
      <w:pPr>
        <w:spacing w:line="360" w:lineRule="auto"/>
        <w:ind w:firstLine="560" w:firstLineChars="200"/>
        <w:jc w:val="left"/>
        <w:rPr>
          <w:rFonts w:hint="eastAsia" w:ascii="仿宋_GB2312" w:hAnsi="仿宋_GB2312" w:eastAsia="仿宋_GB2312" w:cs="仿宋_GB2312"/>
          <w:sz w:val="28"/>
          <w:szCs w:val="28"/>
          <w:highlight w:val="none"/>
          <w:u w:val="none"/>
          <w:lang w:val="en-US" w:eastAsia="zh-CN"/>
        </w:rPr>
      </w:pPr>
      <w:r>
        <w:rPr>
          <w:rFonts w:hint="eastAsia" w:ascii="仿宋_GB2312" w:hAnsi="仿宋_GB2312" w:eastAsia="仿宋_GB2312" w:cs="仿宋_GB2312"/>
          <w:sz w:val="28"/>
          <w:szCs w:val="28"/>
          <w:highlight w:val="none"/>
          <w:u w:val="none"/>
          <w:lang w:val="en-US" w:eastAsia="zh-CN"/>
        </w:rPr>
        <w:t>户    名：济南产权交易服务有限公司</w:t>
      </w:r>
    </w:p>
    <w:p w14:paraId="0103CF00">
      <w:pPr>
        <w:spacing w:line="360" w:lineRule="auto"/>
        <w:ind w:firstLine="560" w:firstLineChars="200"/>
        <w:jc w:val="left"/>
        <w:rPr>
          <w:rFonts w:hint="eastAsia" w:ascii="仿宋_GB2312" w:hAnsi="仿宋_GB2312" w:eastAsia="仿宋_GB2312" w:cs="仿宋_GB2312"/>
          <w:sz w:val="28"/>
          <w:szCs w:val="28"/>
          <w:highlight w:val="none"/>
          <w:u w:val="none"/>
          <w:lang w:val="en-US" w:eastAsia="zh-CN"/>
        </w:rPr>
      </w:pPr>
      <w:r>
        <w:rPr>
          <w:rFonts w:hint="eastAsia" w:ascii="仿宋_GB2312" w:hAnsi="仿宋_GB2312" w:eastAsia="仿宋_GB2312" w:cs="仿宋_GB2312"/>
          <w:sz w:val="28"/>
          <w:szCs w:val="28"/>
          <w:highlight w:val="none"/>
          <w:u w:val="none"/>
          <w:lang w:val="en-US" w:eastAsia="zh-CN"/>
        </w:rPr>
        <w:t>开户银行：招商银行股份有限公司济南趵突泉支行</w:t>
      </w:r>
    </w:p>
    <w:p w14:paraId="194D5918">
      <w:pPr>
        <w:spacing w:line="360" w:lineRule="auto"/>
        <w:ind w:firstLine="560" w:firstLineChars="200"/>
        <w:jc w:val="left"/>
        <w:rPr>
          <w:rFonts w:hint="eastAsia" w:ascii="仿宋_GB2312" w:hAnsi="仿宋_GB2312" w:eastAsia="仿宋_GB2312" w:cs="仿宋_GB2312"/>
          <w:sz w:val="28"/>
          <w:szCs w:val="28"/>
          <w:highlight w:val="none"/>
          <w:u w:val="none"/>
          <w:lang w:val="en-US" w:eastAsia="zh-CN"/>
        </w:rPr>
      </w:pPr>
      <w:r>
        <w:rPr>
          <w:rFonts w:hint="eastAsia" w:ascii="仿宋_GB2312" w:hAnsi="仿宋_GB2312" w:eastAsia="仿宋_GB2312" w:cs="仿宋_GB2312"/>
          <w:sz w:val="28"/>
          <w:szCs w:val="28"/>
          <w:highlight w:val="none"/>
          <w:u w:val="none"/>
          <w:lang w:val="en-US" w:eastAsia="zh-CN"/>
        </w:rPr>
        <w:t>账    号：531908237410901</w:t>
      </w:r>
    </w:p>
    <w:p w14:paraId="2EC03682">
      <w:pPr>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执行济南产权交易保证金操作细则。</w:t>
      </w:r>
    </w:p>
    <w:p w14:paraId="19B5DDF2">
      <w:pPr>
        <w:spacing w:line="360" w:lineRule="auto"/>
        <w:ind w:firstLine="560" w:firstLineChars="200"/>
        <w:jc w:val="left"/>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1388万元，转入竞拍公司指定收款账户：</w:t>
      </w:r>
    </w:p>
    <w:p w14:paraId="7795A6E4">
      <w:pPr>
        <w:spacing w:line="360" w:lineRule="auto"/>
        <w:ind w:firstLine="560" w:firstLineChars="200"/>
        <w:jc w:val="left"/>
        <w:rPr>
          <w:rFonts w:hint="eastAsia" w:ascii="仿宋_GB2312" w:hAnsi="仿宋_GB2312" w:eastAsia="仿宋_GB2312" w:cs="仿宋_GB2312"/>
          <w:sz w:val="28"/>
          <w:szCs w:val="28"/>
          <w:highlight w:val="none"/>
          <w:u w:val="none"/>
          <w:lang w:val="en-US" w:eastAsia="zh-CN"/>
        </w:rPr>
      </w:pPr>
      <w:r>
        <w:rPr>
          <w:rFonts w:hint="eastAsia" w:ascii="仿宋_GB2312" w:hAnsi="仿宋_GB2312" w:eastAsia="仿宋_GB2312" w:cs="仿宋_GB2312"/>
          <w:sz w:val="28"/>
          <w:szCs w:val="28"/>
          <w:highlight w:val="none"/>
          <w:u w:val="none"/>
          <w:lang w:val="en-US" w:eastAsia="zh-CN"/>
        </w:rPr>
        <w:t>户  名：金诺国际拍卖集团有限公司</w:t>
      </w:r>
    </w:p>
    <w:p w14:paraId="60B1CFDC">
      <w:pPr>
        <w:spacing w:line="360" w:lineRule="auto"/>
        <w:ind w:firstLine="560" w:firstLineChars="200"/>
        <w:jc w:val="left"/>
        <w:rPr>
          <w:rFonts w:hint="eastAsia" w:ascii="仿宋_GB2312" w:hAnsi="仿宋_GB2312" w:eastAsia="仿宋_GB2312" w:cs="仿宋_GB2312"/>
          <w:sz w:val="28"/>
          <w:szCs w:val="28"/>
          <w:highlight w:val="none"/>
          <w:u w:val="none"/>
          <w:lang w:val="en-US" w:eastAsia="zh-CN"/>
        </w:rPr>
      </w:pPr>
      <w:r>
        <w:rPr>
          <w:rFonts w:hint="eastAsia" w:ascii="仿宋_GB2312" w:hAnsi="仿宋_GB2312" w:eastAsia="仿宋_GB2312" w:cs="仿宋_GB2312"/>
          <w:sz w:val="28"/>
          <w:szCs w:val="28"/>
          <w:highlight w:val="none"/>
          <w:u w:val="none"/>
          <w:lang w:val="en-US" w:eastAsia="zh-CN"/>
        </w:rPr>
        <w:t>开户行：齐鲁银行济南历城支行</w:t>
      </w:r>
    </w:p>
    <w:p w14:paraId="53EFF2C4">
      <w:pPr>
        <w:spacing w:line="360" w:lineRule="auto"/>
        <w:ind w:firstLine="560" w:firstLineChars="200"/>
        <w:jc w:val="left"/>
        <w:rPr>
          <w:rFonts w:hint="eastAsia" w:ascii="仿宋_GB2312" w:hAnsi="仿宋_GB2312" w:eastAsia="仿宋_GB2312" w:cs="仿宋_GB2312"/>
          <w:sz w:val="28"/>
          <w:szCs w:val="28"/>
          <w:highlight w:val="none"/>
          <w:u w:val="none"/>
          <w:lang w:val="en-US" w:eastAsia="zh-CN"/>
        </w:rPr>
      </w:pPr>
      <w:r>
        <w:rPr>
          <w:rFonts w:hint="eastAsia" w:ascii="仿宋_GB2312" w:hAnsi="仿宋_GB2312" w:eastAsia="仿宋_GB2312" w:cs="仿宋_GB2312"/>
          <w:sz w:val="28"/>
          <w:szCs w:val="28"/>
          <w:highlight w:val="none"/>
          <w:u w:val="none"/>
          <w:lang w:val="en-US" w:eastAsia="zh-CN"/>
        </w:rPr>
        <w:t>账  号：000000726003800003937</w:t>
      </w:r>
    </w:p>
    <w:p w14:paraId="18DA9F70">
      <w:pPr>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以上两笔</w:t>
      </w:r>
      <w:r>
        <w:rPr>
          <w:rFonts w:hint="eastAsia" w:ascii="仿宋_GB2312" w:hAnsi="仿宋_GB2312" w:eastAsia="仿宋_GB2312" w:cs="仿宋_GB2312"/>
          <w:sz w:val="28"/>
          <w:szCs w:val="28"/>
          <w:highlight w:val="none"/>
        </w:rPr>
        <w:t>竞买保证金作为意向</w:t>
      </w:r>
      <w:r>
        <w:rPr>
          <w:rFonts w:hint="eastAsia" w:ascii="仿宋_GB2312" w:hAnsi="仿宋_GB2312" w:eastAsia="仿宋_GB2312" w:cs="仿宋_GB2312"/>
          <w:sz w:val="28"/>
          <w:szCs w:val="28"/>
          <w:highlight w:val="none"/>
          <w:lang w:val="en-US" w:eastAsia="zh-CN"/>
        </w:rPr>
        <w:t>竞买人</w:t>
      </w:r>
      <w:r>
        <w:rPr>
          <w:rFonts w:hint="eastAsia" w:ascii="仿宋_GB2312" w:hAnsi="仿宋_GB2312" w:eastAsia="仿宋_GB2312" w:cs="仿宋_GB2312"/>
          <w:sz w:val="28"/>
          <w:szCs w:val="28"/>
          <w:highlight w:val="none"/>
        </w:rPr>
        <w:t>参与此次标的</w:t>
      </w:r>
      <w:r>
        <w:rPr>
          <w:rFonts w:hint="eastAsia" w:ascii="仿宋_GB2312" w:hAnsi="仿宋_GB2312" w:eastAsia="仿宋_GB2312" w:cs="仿宋_GB2312"/>
          <w:sz w:val="28"/>
          <w:szCs w:val="28"/>
          <w:highlight w:val="none"/>
          <w:lang w:val="en-US" w:eastAsia="zh-CN"/>
        </w:rPr>
        <w:t>的</w:t>
      </w:r>
      <w:r>
        <w:rPr>
          <w:rFonts w:hint="eastAsia" w:ascii="仿宋_GB2312" w:hAnsi="仿宋_GB2312" w:eastAsia="仿宋_GB2312" w:cs="仿宋_GB2312"/>
          <w:sz w:val="28"/>
          <w:szCs w:val="28"/>
          <w:highlight w:val="none"/>
        </w:rPr>
        <w:t>前提条件，拍卖成交后，竞买人</w:t>
      </w:r>
      <w:r>
        <w:rPr>
          <w:rFonts w:hint="eastAsia" w:ascii="仿宋_GB2312" w:hAnsi="仿宋_GB2312" w:eastAsia="仿宋_GB2312" w:cs="仿宋_GB2312"/>
          <w:sz w:val="28"/>
          <w:szCs w:val="28"/>
          <w:highlight w:val="none"/>
          <w:lang w:val="en-US" w:eastAsia="zh-CN"/>
        </w:rPr>
        <w:t>向济南产权交易服务有限公司指定账户</w:t>
      </w:r>
      <w:r>
        <w:rPr>
          <w:rFonts w:hint="eastAsia" w:ascii="仿宋_GB2312" w:hAnsi="仿宋_GB2312" w:eastAsia="仿宋_GB2312" w:cs="仿宋_GB2312"/>
          <w:sz w:val="28"/>
          <w:szCs w:val="28"/>
          <w:highlight w:val="none"/>
        </w:rPr>
        <w:t>交纳的竞拍保证金人民币</w:t>
      </w:r>
      <w:r>
        <w:rPr>
          <w:rFonts w:hint="eastAsia" w:ascii="仿宋_GB2312" w:hAnsi="仿宋_GB2312" w:eastAsia="仿宋_GB2312" w:cs="仿宋_GB2312"/>
          <w:sz w:val="28"/>
          <w:szCs w:val="28"/>
          <w:highlight w:val="none"/>
          <w:lang w:val="en-US" w:eastAsia="zh-CN"/>
        </w:rPr>
        <w:t>594</w:t>
      </w:r>
      <w:r>
        <w:rPr>
          <w:rFonts w:hint="eastAsia" w:ascii="仿宋_GB2312" w:hAnsi="仿宋_GB2312" w:eastAsia="仿宋_GB2312" w:cs="仿宋_GB2312"/>
          <w:sz w:val="28"/>
          <w:szCs w:val="28"/>
          <w:highlight w:val="none"/>
        </w:rPr>
        <w:t>万元自动转为</w:t>
      </w:r>
      <w:r>
        <w:rPr>
          <w:rFonts w:hint="eastAsia" w:ascii="仿宋_GB2312" w:hAnsi="仿宋_GB2312" w:eastAsia="仿宋_GB2312" w:cs="仿宋_GB2312"/>
          <w:sz w:val="28"/>
          <w:szCs w:val="28"/>
          <w:highlight w:val="none"/>
          <w:lang w:val="en-US" w:eastAsia="zh-CN"/>
        </w:rPr>
        <w:t>部分拍卖成交价款，竞买人付清剩余拍卖成交价款、履约保证金、拍卖佣金、挂牌服务费后</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买受</w:t>
      </w:r>
      <w:r>
        <w:rPr>
          <w:rFonts w:hint="eastAsia" w:ascii="仿宋_GB2312" w:hAnsi="仿宋_GB2312" w:eastAsia="仿宋_GB2312" w:cs="仿宋_GB2312"/>
          <w:sz w:val="28"/>
          <w:szCs w:val="28"/>
          <w:highlight w:val="none"/>
        </w:rPr>
        <w:t>人</w:t>
      </w:r>
      <w:r>
        <w:rPr>
          <w:rFonts w:hint="eastAsia" w:ascii="仿宋_GB2312" w:hAnsi="仿宋_GB2312" w:eastAsia="仿宋_GB2312" w:cs="仿宋_GB2312"/>
          <w:sz w:val="28"/>
          <w:szCs w:val="28"/>
          <w:highlight w:val="none"/>
          <w:lang w:val="en-US" w:eastAsia="zh-CN"/>
        </w:rPr>
        <w:t>拍卖前向拍卖公司指定账户</w:t>
      </w:r>
      <w:r>
        <w:rPr>
          <w:rFonts w:hint="eastAsia" w:ascii="仿宋_GB2312" w:hAnsi="仿宋_GB2312" w:eastAsia="仿宋_GB2312" w:cs="仿宋_GB2312"/>
          <w:sz w:val="28"/>
          <w:szCs w:val="28"/>
          <w:highlight w:val="none"/>
        </w:rPr>
        <w:t>交纳的竞拍保证金人民币</w:t>
      </w:r>
      <w:r>
        <w:rPr>
          <w:rFonts w:hint="eastAsia" w:ascii="仿宋_GB2312" w:hAnsi="仿宋_GB2312" w:eastAsia="仿宋_GB2312" w:cs="仿宋_GB2312"/>
          <w:sz w:val="28"/>
          <w:szCs w:val="28"/>
          <w:highlight w:val="none"/>
          <w:lang w:val="en-US" w:eastAsia="zh-CN"/>
        </w:rPr>
        <w:t>1388</w:t>
      </w:r>
      <w:r>
        <w:rPr>
          <w:rFonts w:hint="eastAsia" w:ascii="仿宋_GB2312" w:hAnsi="仿宋_GB2312" w:eastAsia="仿宋_GB2312" w:cs="仿宋_GB2312"/>
          <w:sz w:val="28"/>
          <w:szCs w:val="28"/>
          <w:highlight w:val="none"/>
        </w:rPr>
        <w:t>万元</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由拍卖公司按原渠道无息退还给买受</w:t>
      </w:r>
      <w:r>
        <w:rPr>
          <w:rFonts w:hint="eastAsia" w:ascii="仿宋_GB2312" w:hAnsi="仿宋_GB2312" w:eastAsia="仿宋_GB2312" w:cs="仿宋_GB2312"/>
          <w:sz w:val="28"/>
          <w:szCs w:val="28"/>
          <w:highlight w:val="none"/>
        </w:rPr>
        <w:t>人</w:t>
      </w:r>
      <w:r>
        <w:rPr>
          <w:rFonts w:hint="eastAsia" w:ascii="仿宋_GB2312" w:hAnsi="仿宋_GB2312" w:eastAsia="仿宋_GB2312" w:cs="仿宋_GB2312"/>
          <w:sz w:val="28"/>
          <w:szCs w:val="28"/>
          <w:highlight w:val="none"/>
          <w:lang w:val="en-US" w:eastAsia="zh-CN"/>
        </w:rPr>
        <w:t>。</w:t>
      </w:r>
    </w:p>
    <w:p w14:paraId="509F2194">
      <w:pPr>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二</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履约保证金</w:t>
      </w:r>
    </w:p>
    <w:p w14:paraId="207C2BE3">
      <w:pPr>
        <w:numPr>
          <w:ilvl w:val="0"/>
          <w:numId w:val="0"/>
        </w:numPr>
        <w:spacing w:line="360" w:lineRule="auto"/>
        <w:ind w:firstLine="560" w:firstLineChars="200"/>
        <w:jc w:val="left"/>
        <w:rPr>
          <w:rFonts w:hint="eastAsia" w:ascii="仿宋_GB2312" w:hAnsi="仿宋_GB2312" w:eastAsia="仿宋_GB2312" w:cs="仿宋_GB2312"/>
          <w:b/>
          <w:bCs/>
          <w:sz w:val="28"/>
          <w:szCs w:val="28"/>
          <w:highlight w:val="none"/>
          <w:lang w:eastAsia="zh-CN"/>
        </w:rPr>
      </w:pPr>
      <w:r>
        <w:rPr>
          <w:rFonts w:hint="eastAsia" w:ascii="仿宋_GB2312" w:hAnsi="仿宋_GB2312" w:eastAsia="仿宋_GB2312" w:cs="仿宋_GB2312"/>
          <w:sz w:val="28"/>
          <w:szCs w:val="28"/>
          <w:highlight w:val="none"/>
        </w:rPr>
        <w:t>履约保证金总额为</w:t>
      </w:r>
      <w:r>
        <w:rPr>
          <w:rFonts w:hint="eastAsia" w:ascii="仿宋_GB2312" w:hAnsi="仿宋_GB2312" w:eastAsia="仿宋_GB2312" w:cs="仿宋_GB2312"/>
          <w:sz w:val="28"/>
          <w:szCs w:val="28"/>
          <w:highlight w:val="none"/>
          <w:lang w:val="en-US" w:eastAsia="zh-CN"/>
        </w:rPr>
        <w:t>540万元</w:t>
      </w:r>
      <w:r>
        <w:rPr>
          <w:rFonts w:hint="eastAsia" w:ascii="仿宋_GB2312" w:hAnsi="仿宋_GB2312" w:eastAsia="仿宋_GB2312" w:cs="仿宋_GB2312"/>
          <w:sz w:val="28"/>
          <w:szCs w:val="28"/>
          <w:highlight w:val="none"/>
        </w:rPr>
        <w:t>，含</w:t>
      </w:r>
      <w:r>
        <w:rPr>
          <w:rFonts w:hint="eastAsia" w:ascii="仿宋_GB2312" w:hAnsi="仿宋_GB2312" w:eastAsia="仿宋_GB2312" w:cs="仿宋_GB2312"/>
          <w:sz w:val="28"/>
          <w:szCs w:val="28"/>
          <w:highlight w:val="none"/>
          <w:lang w:val="en-US" w:eastAsia="zh-CN"/>
        </w:rPr>
        <w:t>水电押金</w:t>
      </w:r>
      <w:r>
        <w:rPr>
          <w:rFonts w:hint="eastAsia" w:ascii="仿宋_GB2312" w:hAnsi="仿宋_GB2312" w:eastAsia="仿宋_GB2312" w:cs="仿宋_GB2312"/>
          <w:sz w:val="28"/>
          <w:szCs w:val="28"/>
          <w:highlight w:val="none"/>
        </w:rPr>
        <w:t>等款项，</w:t>
      </w:r>
      <w:r>
        <w:rPr>
          <w:rFonts w:hint="eastAsia" w:ascii="仿宋_GB2312" w:hAnsi="仿宋_GB2312" w:eastAsia="仿宋_GB2312" w:cs="仿宋_GB2312"/>
          <w:sz w:val="28"/>
          <w:szCs w:val="28"/>
          <w:highlight w:val="none"/>
          <w:lang w:val="en-US" w:eastAsia="zh-CN"/>
        </w:rPr>
        <w:t>水费参考单价6.05元/吨，电费参考单价0.74元/kwh，水电费用据实结算,结算方式详见《资产交易合同》。</w:t>
      </w:r>
    </w:p>
    <w:p w14:paraId="22156439">
      <w:pPr>
        <w:spacing w:line="360" w:lineRule="auto"/>
        <w:rPr>
          <w:rFonts w:hint="eastAsia" w:ascii="仿宋_GB2312" w:hAnsi="仿宋_GB2312" w:eastAsia="仿宋_GB2312" w:cs="仿宋_GB2312"/>
          <w:b/>
          <w:bCs/>
          <w:sz w:val="28"/>
          <w:szCs w:val="28"/>
          <w:highlight w:val="none"/>
        </w:rPr>
      </w:pPr>
      <w:bookmarkStart w:id="0" w:name="heading_10"/>
      <w:r>
        <w:rPr>
          <w:rFonts w:hint="eastAsia" w:ascii="仿宋_GB2312" w:hAnsi="仿宋_GB2312" w:eastAsia="仿宋_GB2312" w:cs="仿宋_GB2312"/>
          <w:b/>
          <w:bCs/>
          <w:sz w:val="28"/>
          <w:szCs w:val="28"/>
          <w:highlight w:val="none"/>
        </w:rPr>
        <w:t>四、其他要求</w:t>
      </w:r>
      <w:bookmarkEnd w:id="0"/>
    </w:p>
    <w:p w14:paraId="04FD961C">
      <w:pPr>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超危大工程施工单位须具备建筑工程施工总承包二级及以上等相应资质证书，《超危大工程专项方案》需经不少于5名专家（</w:t>
      </w:r>
      <w:r>
        <w:rPr>
          <w:rFonts w:hint="eastAsia" w:ascii="仿宋_GB2312" w:hAnsi="仿宋_GB2312" w:eastAsia="仿宋_GB2312" w:cs="仿宋_GB2312"/>
          <w:sz w:val="28"/>
          <w:szCs w:val="28"/>
          <w:highlight w:val="none"/>
          <w:lang w:val="en-US" w:eastAsia="zh-CN"/>
        </w:rPr>
        <w:t>不少于5名专家（“济南市房屋建筑和燃气供热工程危险性较大分部分项工程专项施工方案论证专家库”内）</w:t>
      </w:r>
      <w:r>
        <w:rPr>
          <w:rFonts w:hint="eastAsia" w:ascii="仿宋_GB2312" w:hAnsi="仿宋_GB2312" w:eastAsia="仿宋_GB2312" w:cs="仿宋_GB2312"/>
          <w:sz w:val="28"/>
          <w:szCs w:val="28"/>
          <w:highlight w:val="none"/>
        </w:rPr>
        <w:t>评审，否则承担违约责任。</w:t>
      </w:r>
    </w:p>
    <w:p w14:paraId="3D55BA1F">
      <w:pPr>
        <w:spacing w:line="360" w:lineRule="auto"/>
        <w:ind w:firstLine="560" w:firstLineChars="200"/>
        <w:jc w:val="left"/>
        <w:rPr>
          <w:rFonts w:hint="default" w:ascii="仿宋" w:hAnsi="仿宋" w:eastAsia="仿宋_GB2312" w:cs="仿宋"/>
          <w:sz w:val="24"/>
          <w:szCs w:val="24"/>
          <w:highlight w:val="none"/>
          <w:lang w:val="en-US" w:eastAsia="zh-CN"/>
        </w:rPr>
      </w:pP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竞买人必须在</w:t>
      </w:r>
      <w:r>
        <w:rPr>
          <w:rFonts w:hint="eastAsia" w:ascii="仿宋_GB2312" w:hAnsi="仿宋_GB2312" w:eastAsia="仿宋_GB2312" w:cs="仿宋_GB2312"/>
          <w:sz w:val="28"/>
          <w:szCs w:val="28"/>
          <w:highlight w:val="none"/>
          <w:lang w:val="en-US" w:eastAsia="zh-CN"/>
        </w:rPr>
        <w:t>拍卖</w:t>
      </w:r>
      <w:r>
        <w:rPr>
          <w:rFonts w:hint="eastAsia" w:ascii="仿宋_GB2312" w:hAnsi="仿宋_GB2312" w:eastAsia="仿宋_GB2312" w:cs="仿宋_GB2312"/>
          <w:sz w:val="28"/>
          <w:szCs w:val="28"/>
          <w:highlight w:val="none"/>
        </w:rPr>
        <w:t>公示期结束前，向拍卖公司提交具备可行性的《超危大工程专项方案》</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方案要求符合《济南热电集团有限公司金鸡岭厂区废旧资产一宗转让项目施工要求》</w:t>
      </w:r>
      <w:r>
        <w:rPr>
          <w:rFonts w:hint="eastAsia" w:ascii="仿宋_GB2312" w:hAnsi="仿宋_GB2312" w:eastAsia="仿宋_GB2312" w:cs="仿宋_GB2312"/>
          <w:sz w:val="28"/>
          <w:szCs w:val="28"/>
          <w:highlight w:val="none"/>
        </w:rPr>
        <w:t>。内容包括但不限于：拆除方式选择、施工流程、安全技术措施、应急预案等。针对超危大工程要求编制专项施工方案（符合《危险性较大的分部分项工程安全管理规定》（住建部令第37号））。</w:t>
      </w:r>
      <w:r>
        <w:rPr>
          <w:rFonts w:hint="eastAsia" w:ascii="仿宋_GB2312" w:hAnsi="仿宋_GB2312" w:eastAsia="仿宋_GB2312" w:cs="仿宋_GB2312"/>
          <w:sz w:val="28"/>
          <w:szCs w:val="28"/>
          <w:highlight w:val="none"/>
          <w:lang w:val="en-US" w:eastAsia="zh-CN"/>
        </w:rPr>
        <w:t>竞买人成为合格买受人后，</w:t>
      </w:r>
      <w:r>
        <w:rPr>
          <w:rFonts w:hint="eastAsia" w:ascii="仿宋_GB2312" w:hAnsi="仿宋_GB2312" w:eastAsia="仿宋_GB2312" w:cs="仿宋_GB2312"/>
          <w:sz w:val="28"/>
          <w:szCs w:val="28"/>
          <w:highlight w:val="none"/>
        </w:rPr>
        <w:t>由</w:t>
      </w:r>
      <w:r>
        <w:rPr>
          <w:rFonts w:hint="eastAsia" w:ascii="仿宋_GB2312" w:hAnsi="仿宋_GB2312" w:eastAsia="仿宋_GB2312" w:cs="仿宋_GB2312"/>
          <w:sz w:val="28"/>
          <w:szCs w:val="28"/>
          <w:highlight w:val="none"/>
          <w:lang w:val="en-US" w:eastAsia="zh-CN"/>
        </w:rPr>
        <w:t>买受</w:t>
      </w:r>
      <w:r>
        <w:rPr>
          <w:rFonts w:hint="eastAsia" w:ascii="仿宋_GB2312" w:hAnsi="仿宋_GB2312" w:eastAsia="仿宋_GB2312" w:cs="仿宋_GB2312"/>
          <w:color w:val="auto"/>
          <w:kern w:val="2"/>
          <w:sz w:val="28"/>
          <w:szCs w:val="28"/>
          <w:highlight w:val="none"/>
          <w:shd w:val="clear" w:color="auto" w:fill="FFFFFF"/>
          <w:lang w:val="en-US" w:eastAsia="zh-CN" w:bidi="ar"/>
        </w:rPr>
        <w:t>人（或</w:t>
      </w:r>
      <w:r>
        <w:rPr>
          <w:rFonts w:hint="eastAsia" w:ascii="仿宋_GB2312" w:hAnsi="仿宋_GB2312" w:eastAsia="仿宋_GB2312" w:cs="仿宋_GB2312"/>
          <w:sz w:val="28"/>
          <w:szCs w:val="28"/>
          <w:highlight w:val="none"/>
          <w:lang w:val="en-US" w:eastAsia="zh-CN"/>
        </w:rPr>
        <w:t>买受</w:t>
      </w:r>
      <w:r>
        <w:rPr>
          <w:rFonts w:hint="eastAsia" w:ascii="仿宋_GB2312" w:hAnsi="仿宋_GB2312" w:eastAsia="仿宋_GB2312" w:cs="仿宋_GB2312"/>
          <w:color w:val="auto"/>
          <w:kern w:val="2"/>
          <w:sz w:val="28"/>
          <w:szCs w:val="28"/>
          <w:highlight w:val="none"/>
          <w:shd w:val="clear" w:color="auto" w:fill="FFFFFF"/>
          <w:lang w:val="en-US" w:eastAsia="zh-CN" w:bidi="ar"/>
        </w:rPr>
        <w:t>人雇佣的施工单位）</w:t>
      </w:r>
      <w:r>
        <w:rPr>
          <w:rFonts w:hint="eastAsia" w:ascii="仿宋_GB2312" w:hAnsi="仿宋_GB2312" w:eastAsia="仿宋_GB2312" w:cs="仿宋_GB2312"/>
          <w:sz w:val="28"/>
          <w:szCs w:val="28"/>
          <w:highlight w:val="none"/>
        </w:rPr>
        <w:t>严格按照要求编制正式专项施工方案，并组织专家论证。</w:t>
      </w:r>
      <w:r>
        <w:rPr>
          <w:rFonts w:hint="eastAsia" w:ascii="仿宋_GB2312" w:hAnsi="仿宋_GB2312" w:eastAsia="仿宋_GB2312" w:cs="仿宋_GB2312"/>
          <w:sz w:val="28"/>
          <w:szCs w:val="28"/>
          <w:highlight w:val="none"/>
          <w:lang w:val="en-US" w:eastAsia="zh-CN"/>
        </w:rPr>
        <w:t>相关一切费用由买受人承担。</w:t>
      </w:r>
    </w:p>
    <w:p w14:paraId="7B0ACC77">
      <w:pPr>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竞买人承担施工方案编制、专家论证、监测监控、应急演练等所有相关的费用。施工方案必须由竞买人</w:t>
      </w:r>
      <w:r>
        <w:rPr>
          <w:rFonts w:hint="eastAsia" w:ascii="仿宋_GB2312" w:hAnsi="仿宋_GB2312" w:eastAsia="仿宋_GB2312" w:cs="仿宋_GB2312"/>
          <w:color w:val="auto"/>
          <w:kern w:val="2"/>
          <w:sz w:val="28"/>
          <w:szCs w:val="28"/>
          <w:highlight w:val="none"/>
          <w:shd w:val="clear" w:color="auto" w:fill="FFFFFF"/>
          <w:lang w:val="en-US" w:eastAsia="zh-CN" w:bidi="ar"/>
        </w:rPr>
        <w:t>（或竞买人雇佣的施工单位）</w:t>
      </w:r>
      <w:r>
        <w:rPr>
          <w:rFonts w:hint="eastAsia" w:ascii="仿宋_GB2312" w:hAnsi="仿宋_GB2312" w:eastAsia="仿宋_GB2312" w:cs="仿宋_GB2312"/>
          <w:sz w:val="28"/>
          <w:szCs w:val="28"/>
          <w:highlight w:val="none"/>
        </w:rPr>
        <w:t>组织编制，</w:t>
      </w:r>
      <w:r>
        <w:rPr>
          <w:rFonts w:hint="eastAsia" w:ascii="仿宋_GB2312" w:hAnsi="仿宋_GB2312" w:eastAsia="仿宋_GB2312" w:cs="仿宋_GB2312"/>
          <w:color w:val="auto"/>
          <w:kern w:val="2"/>
          <w:sz w:val="28"/>
          <w:szCs w:val="28"/>
          <w:highlight w:val="none"/>
          <w:shd w:val="clear" w:color="auto" w:fill="FFFFFF"/>
          <w:lang w:val="en-US" w:eastAsia="zh-CN" w:bidi="ar"/>
        </w:rPr>
        <w:t>竞买人雇佣的施工单位编制</w:t>
      </w:r>
      <w:r>
        <w:rPr>
          <w:rFonts w:hint="eastAsia" w:ascii="仿宋_GB2312" w:hAnsi="仿宋_GB2312" w:eastAsia="仿宋_GB2312" w:cs="仿宋_GB2312"/>
          <w:sz w:val="28"/>
          <w:szCs w:val="28"/>
          <w:highlight w:val="none"/>
          <w:lang w:val="en-US" w:eastAsia="zh-CN"/>
        </w:rPr>
        <w:t>施工方案的须</w:t>
      </w:r>
      <w:r>
        <w:rPr>
          <w:rFonts w:hint="eastAsia" w:ascii="仿宋_GB2312" w:hAnsi="仿宋_GB2312" w:eastAsia="仿宋_GB2312" w:cs="仿宋_GB2312"/>
          <w:sz w:val="28"/>
          <w:szCs w:val="28"/>
          <w:highlight w:val="none"/>
        </w:rPr>
        <w:t>竞买人</w:t>
      </w:r>
      <w:r>
        <w:rPr>
          <w:rFonts w:hint="eastAsia" w:ascii="仿宋_GB2312" w:hAnsi="仿宋_GB2312" w:eastAsia="仿宋_GB2312" w:cs="仿宋_GB2312"/>
          <w:sz w:val="28"/>
          <w:szCs w:val="28"/>
          <w:highlight w:val="none"/>
          <w:lang w:val="en-US" w:eastAsia="zh-CN"/>
        </w:rPr>
        <w:t>与</w:t>
      </w:r>
      <w:r>
        <w:rPr>
          <w:rFonts w:hint="eastAsia" w:ascii="仿宋_GB2312" w:hAnsi="仿宋_GB2312" w:eastAsia="仿宋_GB2312" w:cs="仿宋_GB2312"/>
          <w:color w:val="auto"/>
          <w:kern w:val="2"/>
          <w:sz w:val="28"/>
          <w:szCs w:val="28"/>
          <w:highlight w:val="none"/>
          <w:shd w:val="clear" w:color="auto" w:fill="FFFFFF"/>
          <w:lang w:val="en-US" w:eastAsia="zh-CN" w:bidi="ar"/>
        </w:rPr>
        <w:t>竞买人雇佣的施工单位共同盖章，</w:t>
      </w:r>
      <w:r>
        <w:rPr>
          <w:rFonts w:hint="eastAsia" w:ascii="仿宋_GB2312" w:hAnsi="仿宋_GB2312" w:eastAsia="仿宋_GB2312" w:cs="仿宋_GB2312"/>
          <w:sz w:val="28"/>
          <w:szCs w:val="28"/>
          <w:highlight w:val="none"/>
        </w:rPr>
        <w:t>不得委托第三方编制。</w:t>
      </w:r>
    </w:p>
    <w:p w14:paraId="343724C5">
      <w:pPr>
        <w:spacing w:line="360" w:lineRule="auto"/>
        <w:ind w:firstLine="560" w:firstLineChars="200"/>
        <w:jc w:val="left"/>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4.标的物处置完成后，竞买人需组织转让方进行项目验收，验收标准符合《资产交易合同》相关要求。</w:t>
      </w:r>
    </w:p>
    <w:p w14:paraId="3B9FEE8A">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lang w:eastAsia="zh-CN"/>
        </w:rPr>
        <w:t>.因竞买人不符合资格条件、不具备履约能力或提交虚假（编造、伪造）资料参与报名的，须承担全部法律和经济责任。</w:t>
      </w:r>
    </w:p>
    <w:p w14:paraId="676A2032">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lang w:eastAsia="zh-CN"/>
        </w:rPr>
        <w:t>竞买人应于规定时间内按要求办理登记手续，交验相关证明资料，交付保证金，在济南公共资源中心-电子交易系统完成实名注册，办理 CA 证书并申请参拍后取得竞买资格或取得由济南产权交易服务有限公司分配的本次网络拍卖的平台账号、密码，方可参加竞买。</w:t>
      </w:r>
    </w:p>
    <w:p w14:paraId="7A99295D">
      <w:pPr>
        <w:spacing w:line="360" w:lineRule="auto"/>
        <w:ind w:firstLine="560" w:firstLineChars="200"/>
        <w:jc w:val="left"/>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7.</w:t>
      </w:r>
      <w:r>
        <w:rPr>
          <w:rFonts w:hint="eastAsia" w:ascii="仿宋_GB2312" w:hAnsi="仿宋_GB2312" w:eastAsia="仿宋_GB2312" w:cs="仿宋_GB2312"/>
          <w:sz w:val="28"/>
          <w:szCs w:val="28"/>
          <w:highlight w:val="none"/>
          <w:lang w:eastAsia="zh-CN"/>
        </w:rPr>
        <w:t>竞买人委托代理人竞买，代理人须出示有效的委托文件及本人身份证明。否则将视为</w:t>
      </w:r>
      <w:r>
        <w:rPr>
          <w:rFonts w:hint="eastAsia" w:ascii="仿宋_GB2312" w:hAnsi="仿宋_GB2312" w:eastAsia="仿宋_GB2312" w:cs="仿宋_GB2312"/>
          <w:sz w:val="28"/>
          <w:szCs w:val="28"/>
          <w:highlight w:val="none"/>
          <w:lang w:val="en-US" w:eastAsia="zh-CN"/>
        </w:rPr>
        <w:t>资格审核不符，不接受报名</w:t>
      </w:r>
      <w:r>
        <w:rPr>
          <w:rFonts w:hint="eastAsia" w:ascii="仿宋_GB2312" w:hAnsi="仿宋_GB2312" w:eastAsia="仿宋_GB2312" w:cs="仿宋_GB2312"/>
          <w:sz w:val="28"/>
          <w:szCs w:val="28"/>
          <w:highlight w:val="none"/>
          <w:lang w:eastAsia="zh-CN"/>
        </w:rPr>
        <w:t>。</w:t>
      </w:r>
    </w:p>
    <w:p w14:paraId="0BF80133">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8.</w:t>
      </w:r>
      <w:r>
        <w:rPr>
          <w:rFonts w:hint="eastAsia" w:ascii="仿宋_GB2312" w:hAnsi="仿宋_GB2312" w:eastAsia="仿宋_GB2312" w:cs="仿宋_GB2312"/>
          <w:sz w:val="28"/>
          <w:szCs w:val="28"/>
          <w:highlight w:val="none"/>
          <w:lang w:eastAsia="zh-CN"/>
        </w:rPr>
        <w:t>委托人可以出席拍卖会，但不得参与或委托他人代为竞买自己委托的拍卖标的。委托人在拍卖开始前要求拍卖人撤拍的，拍卖人应当撤回拍卖标的。</w:t>
      </w:r>
    </w:p>
    <w:p w14:paraId="14C9BF57">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9.</w:t>
      </w:r>
      <w:r>
        <w:rPr>
          <w:rFonts w:hint="eastAsia" w:ascii="仿宋_GB2312" w:hAnsi="仿宋_GB2312" w:eastAsia="仿宋_GB2312" w:cs="仿宋_GB2312"/>
          <w:sz w:val="28"/>
          <w:szCs w:val="28"/>
          <w:highlight w:val="none"/>
          <w:lang w:eastAsia="zh-CN"/>
        </w:rPr>
        <w:t>拍卖人应当按规定在拍卖前展示拍卖标的。竞买人可以在公告规定的咨询展示期内实地勘察拍卖标的物，充分了解各拍卖标的物的实际情况，必要时可聘请专家对标的及标的相关资料进行全面勘察、鉴定，并充分了解标的可能存在的已知及可能存在的其他未知的风险及瑕疵。</w:t>
      </w:r>
    </w:p>
    <w:p w14:paraId="444AC93A">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lang w:eastAsia="zh-CN"/>
        </w:rPr>
        <w:t>.拍卖人应当向竞买人说明已经知道或者应当知道的标的瑕疵。请竞买人充分注意已披露和拍卖人、委托人未知信息的风险控制与防范，详细阅读并知悉济南产权交易服务有限公司项目编号：    挂牌公告公示的相关内容。拍卖人和委托人对拍卖标的不承担任何保证责任和瑕疵担保责任。拍卖人在拍卖前声明不能保证拍卖标的的真伪或者品质的，不承担瑕疵担保责任。为此所作的文字说明、图片目录和估价等仅供竞买人参考。</w:t>
      </w:r>
    </w:p>
    <w:p w14:paraId="1D032FCC">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1</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lang w:eastAsia="zh-CN"/>
        </w:rPr>
        <w:t>.竞买人应于拍卖会前自行办理济南公共资源交易中心CA 证书，注册企业账号报名 申请参拍或取得由济南产权交易服务有限公司分配的本次网络拍卖的平台账号、密码，竞买人应对自己的账号和密码进行保密，在济南公共资源中心-电子交易系统（</w:t>
      </w:r>
      <w:r>
        <w:rPr>
          <w:rFonts w:hint="eastAsia" w:ascii="仿宋_GB2312" w:hAnsi="仿宋_GB2312" w:eastAsia="仿宋_GB2312" w:cs="仿宋_GB2312"/>
          <w:sz w:val="28"/>
          <w:szCs w:val="28"/>
          <w:highlight w:val="none"/>
          <w:lang w:eastAsia="zh-CN"/>
        </w:rPr>
        <w:fldChar w:fldCharType="begin"/>
      </w:r>
      <w:r>
        <w:rPr>
          <w:rFonts w:hint="eastAsia" w:ascii="仿宋_GB2312" w:hAnsi="仿宋_GB2312" w:eastAsia="仿宋_GB2312" w:cs="仿宋_GB2312"/>
          <w:sz w:val="28"/>
          <w:szCs w:val="28"/>
          <w:highlight w:val="none"/>
          <w:lang w:eastAsia="zh-CN"/>
        </w:rPr>
        <w:instrText xml:space="preserve"> HYPERLINK "http://jnggzy.jinan.gov.cn/" </w:instrText>
      </w:r>
      <w:r>
        <w:rPr>
          <w:rFonts w:hint="eastAsia" w:ascii="仿宋_GB2312" w:hAnsi="仿宋_GB2312" w:eastAsia="仿宋_GB2312" w:cs="仿宋_GB2312"/>
          <w:sz w:val="28"/>
          <w:szCs w:val="28"/>
          <w:highlight w:val="none"/>
          <w:lang w:eastAsia="zh-CN"/>
        </w:rPr>
        <w:fldChar w:fldCharType="separate"/>
      </w:r>
      <w:r>
        <w:rPr>
          <w:rFonts w:hint="eastAsia" w:ascii="仿宋_GB2312" w:hAnsi="仿宋_GB2312" w:eastAsia="仿宋_GB2312" w:cs="仿宋_GB2312"/>
          <w:sz w:val="28"/>
          <w:szCs w:val="28"/>
          <w:highlight w:val="none"/>
          <w:lang w:eastAsia="zh-CN"/>
        </w:rPr>
        <w:t>http://jnggzy.jinan.gov.cn/</w:t>
      </w:r>
      <w:r>
        <w:rPr>
          <w:rFonts w:hint="eastAsia" w:ascii="仿宋_GB2312" w:hAnsi="仿宋_GB2312" w:eastAsia="仿宋_GB2312" w:cs="仿宋_GB2312"/>
          <w:sz w:val="28"/>
          <w:szCs w:val="28"/>
          <w:highlight w:val="none"/>
          <w:lang w:eastAsia="zh-CN"/>
        </w:rPr>
        <w:fldChar w:fldCharType="end"/>
      </w:r>
      <w:r>
        <w:rPr>
          <w:rFonts w:hint="eastAsia" w:ascii="仿宋_GB2312" w:hAnsi="仿宋_GB2312" w:eastAsia="仿宋_GB2312" w:cs="仿宋_GB2312"/>
          <w:sz w:val="28"/>
          <w:szCs w:val="28"/>
          <w:highlight w:val="none"/>
          <w:lang w:eastAsia="zh-CN"/>
        </w:rPr>
        <w:t>）上以竞买人的帐号和密码登陆后进行的操作，均被视为竞买人的行为，竞买人应当对以其帐号进行的所有活动和事件负法律责任。竞买人报价金额的币种仅限为人民币，报价前须仔细核对报价金额及单位，确认无误后方可点击送出。竞买人一经送出上传报价，网上竞价平台均有记录，不得撤回或撤销，但拍卖师认定误操作的报价除外。竞买人不得扰乱秩序，更不得恶意串通，影响或操纵其他竞买人竞价，如有发现将取消其竞买资格，没收其缴纳的竞买保证金，并追究其相应的法律责任。</w:t>
      </w:r>
    </w:p>
    <w:p w14:paraId="473562E4">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12</w:t>
      </w:r>
      <w:r>
        <w:rPr>
          <w:rFonts w:hint="eastAsia" w:ascii="仿宋_GB2312" w:hAnsi="仿宋_GB2312" w:eastAsia="仿宋_GB2312" w:cs="仿宋_GB2312"/>
          <w:sz w:val="28"/>
          <w:szCs w:val="28"/>
          <w:highlight w:val="none"/>
          <w:lang w:eastAsia="zh-CN"/>
        </w:rPr>
        <w:t>.拍卖师可以确定标的起拍价格和竞价阶梯。拍卖师在拍卖前应当宣布起拍价格、竞价阶梯，竞买人须按拍卖师宣布的规定竞价。</w:t>
      </w:r>
    </w:p>
    <w:p w14:paraId="4E174041">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13.</w:t>
      </w:r>
      <w:r>
        <w:rPr>
          <w:rFonts w:hint="eastAsia" w:ascii="仿宋_GB2312" w:hAnsi="仿宋_GB2312" w:eastAsia="仿宋_GB2312" w:cs="仿宋_GB2312"/>
          <w:sz w:val="28"/>
          <w:szCs w:val="28"/>
          <w:highlight w:val="none"/>
          <w:lang w:eastAsia="zh-CN"/>
        </w:rPr>
        <w:t>竞买人最高应价经拍卖师在电子交易系统以公开表示买定的方式确认后，拍卖成交，竞买人随即成为该标的竞买人，竞买人须与拍卖人签署《拍卖成交确认书》和其他需要签署的文件。竞买人未竞得拍卖标的的，拍卖人应当</w:t>
      </w:r>
      <w:r>
        <w:rPr>
          <w:rFonts w:hint="eastAsia" w:ascii="仿宋_GB2312" w:hAnsi="仿宋_GB2312" w:eastAsia="仿宋_GB2312" w:cs="仿宋_GB2312"/>
          <w:sz w:val="28"/>
          <w:szCs w:val="28"/>
          <w:highlight w:val="none"/>
          <w:lang w:val="en-US" w:eastAsia="zh-CN"/>
        </w:rPr>
        <w:t>拍卖会结束后2个工作日原账户无息</w:t>
      </w:r>
      <w:r>
        <w:rPr>
          <w:rFonts w:hint="eastAsia" w:ascii="仿宋_GB2312" w:hAnsi="仿宋_GB2312" w:eastAsia="仿宋_GB2312" w:cs="仿宋_GB2312"/>
          <w:sz w:val="28"/>
          <w:szCs w:val="28"/>
          <w:highlight w:val="none"/>
          <w:lang w:eastAsia="zh-CN"/>
        </w:rPr>
        <w:t>退回竞买人交付的保证金。</w:t>
      </w:r>
    </w:p>
    <w:p w14:paraId="5288D378">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1</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eastAsia="zh-CN"/>
        </w:rPr>
        <w:t>.竞买人应当按照法律、法规的规定合法合规的处置其竞得的拍卖标的，依法履行相关义务。拍卖前委托人依法撤拍的，竞买人应无条件服从，互不承担违约责任。</w:t>
      </w:r>
    </w:p>
    <w:p w14:paraId="7A8D4614">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1</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lang w:eastAsia="zh-CN"/>
        </w:rPr>
        <w:t>.拍卖活动各方当事人应当遵守拍卖相关法律、法规的规定；当事人之间不得恶意串通，损害他人利益，更不能有操纵、垄断等违法行为。一经发现将依法追究其法律责任。</w:t>
      </w:r>
    </w:p>
    <w:p w14:paraId="2A221717">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1</w:t>
      </w:r>
      <w:r>
        <w:rPr>
          <w:rFonts w:hint="eastAsia"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lang w:eastAsia="zh-CN"/>
        </w:rPr>
        <w:t>.委托人、竞买人或其他人员需对拍卖活动情况进行摄影、摄像和录音的，须事先征得拍卖人同意。非经拍卖人同意，任何人不得擅自发布拍卖活动信息。</w:t>
      </w:r>
    </w:p>
    <w:p w14:paraId="62648D25">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1</w:t>
      </w:r>
      <w:r>
        <w:rPr>
          <w:rFonts w:hint="eastAsia" w:ascii="仿宋_GB2312" w:hAnsi="仿宋_GB2312" w:eastAsia="仿宋_GB2312" w:cs="仿宋_GB2312"/>
          <w:sz w:val="28"/>
          <w:szCs w:val="28"/>
          <w:highlight w:val="none"/>
          <w:lang w:val="en-US" w:eastAsia="zh-CN"/>
        </w:rPr>
        <w:t>7</w:t>
      </w:r>
      <w:r>
        <w:rPr>
          <w:rFonts w:hint="eastAsia" w:ascii="仿宋_GB2312" w:hAnsi="仿宋_GB2312" w:eastAsia="仿宋_GB2312" w:cs="仿宋_GB2312"/>
          <w:sz w:val="28"/>
          <w:szCs w:val="28"/>
          <w:highlight w:val="none"/>
          <w:lang w:eastAsia="zh-CN"/>
        </w:rPr>
        <w:t>.拍卖成交后，竞买人未按照约定付款的，保证金不予退还，并承担违约责任，或者由拍卖人征得委托人的同意，将拍卖标的再次拍卖。拍卖标的再行拍卖的，原竞买人应当支付第一次拍卖中本人及委托人应当支付的佣金、基础服务费。再行拍卖的价款低于原拍卖价款的，原竞买人应当补足差额。</w:t>
      </w:r>
    </w:p>
    <w:p w14:paraId="0EFD6E7C">
      <w:pPr>
        <w:spacing w:line="360" w:lineRule="auto"/>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1</w:t>
      </w:r>
      <w:r>
        <w:rPr>
          <w:rFonts w:hint="eastAsia" w:ascii="仿宋_GB2312" w:hAnsi="仿宋_GB2312" w:eastAsia="仿宋_GB2312" w:cs="仿宋_GB2312"/>
          <w:sz w:val="28"/>
          <w:szCs w:val="28"/>
          <w:highlight w:val="none"/>
          <w:lang w:val="en-US" w:eastAsia="zh-CN"/>
        </w:rPr>
        <w:t>8</w:t>
      </w:r>
      <w:r>
        <w:rPr>
          <w:rFonts w:hint="eastAsia" w:ascii="仿宋_GB2312" w:hAnsi="仿宋_GB2312" w:eastAsia="仿宋_GB2312" w:cs="仿宋_GB2312"/>
          <w:sz w:val="28"/>
          <w:szCs w:val="28"/>
          <w:highlight w:val="none"/>
          <w:lang w:eastAsia="zh-CN"/>
        </w:rPr>
        <w:t>.竞买人、买受人须遵守本须知；拍卖人在每次拍卖时对不同标的制定专项规则或约定的，则从其专项规则或约定。</w:t>
      </w:r>
    </w:p>
    <w:sectPr>
      <w:headerReference r:id="rId3" w:type="default"/>
      <w:footerReference r:id="rId4" w:type="default"/>
      <w:pgSz w:w="11905" w:h="16840"/>
      <w:pgMar w:top="1417" w:right="1417" w:bottom="1417" w:left="141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E6FA1463-57E1-46B0-8923-9E6B4B2A1257}"/>
  </w:font>
  <w:font w:name="华文中宋">
    <w:panose1 w:val="02010600040101010101"/>
    <w:charset w:val="86"/>
    <w:family w:val="auto"/>
    <w:pitch w:val="default"/>
    <w:sig w:usb0="00000287" w:usb1="080F0000" w:usb2="00000000" w:usb3="00000000" w:csb0="0004009F" w:csb1="DFD70000"/>
    <w:embedRegular r:id="rId2" w:fontKey="{46DD720E-D730-49D5-BFEA-77CF71602376}"/>
  </w:font>
  <w:font w:name="仿宋">
    <w:panose1 w:val="02010609060101010101"/>
    <w:charset w:val="86"/>
    <w:family w:val="modern"/>
    <w:pitch w:val="default"/>
    <w:sig w:usb0="800002BF" w:usb1="38CF7CFA" w:usb2="00000016" w:usb3="00000000" w:csb0="00040001" w:csb1="00000000"/>
    <w:embedRegular r:id="rId3" w:fontKey="{F2839146-6AD8-4689-930B-F854D76AC4A3}"/>
  </w:font>
  <w:font w:name="仿宋_GB2312">
    <w:panose1 w:val="02010609030101010101"/>
    <w:charset w:val="86"/>
    <w:family w:val="auto"/>
    <w:pitch w:val="default"/>
    <w:sig w:usb0="00000001" w:usb1="080E0000" w:usb2="00000000" w:usb3="00000000" w:csb0="00040000" w:csb1="00000000"/>
    <w:embedRegular r:id="rId4" w:fontKey="{A02248E1-F1B1-4A86-9EAD-D29B391A2622}"/>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730D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DF6A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9052F"/>
    <w:rsid w:val="00C01272"/>
    <w:rsid w:val="013346E4"/>
    <w:rsid w:val="0256755B"/>
    <w:rsid w:val="03222305"/>
    <w:rsid w:val="045D0E17"/>
    <w:rsid w:val="05746A30"/>
    <w:rsid w:val="06FB7428"/>
    <w:rsid w:val="08F55DDA"/>
    <w:rsid w:val="0907425F"/>
    <w:rsid w:val="0C1742F4"/>
    <w:rsid w:val="0D347B87"/>
    <w:rsid w:val="10E3584D"/>
    <w:rsid w:val="11714284"/>
    <w:rsid w:val="124D69FC"/>
    <w:rsid w:val="13810882"/>
    <w:rsid w:val="13BD0F83"/>
    <w:rsid w:val="149E5B19"/>
    <w:rsid w:val="162C1253"/>
    <w:rsid w:val="174065B3"/>
    <w:rsid w:val="176543D6"/>
    <w:rsid w:val="17857A80"/>
    <w:rsid w:val="18BF2A59"/>
    <w:rsid w:val="19F01F4A"/>
    <w:rsid w:val="1A8011C2"/>
    <w:rsid w:val="1D79052F"/>
    <w:rsid w:val="21311468"/>
    <w:rsid w:val="2216150B"/>
    <w:rsid w:val="24973794"/>
    <w:rsid w:val="273B572C"/>
    <w:rsid w:val="28334C48"/>
    <w:rsid w:val="28E84F24"/>
    <w:rsid w:val="29063A05"/>
    <w:rsid w:val="2C9771C4"/>
    <w:rsid w:val="2D7F73CA"/>
    <w:rsid w:val="2EDE46E8"/>
    <w:rsid w:val="2EFC74C4"/>
    <w:rsid w:val="2F051EF5"/>
    <w:rsid w:val="30A06522"/>
    <w:rsid w:val="313B65BE"/>
    <w:rsid w:val="322F2038"/>
    <w:rsid w:val="33E953BA"/>
    <w:rsid w:val="34F60BAC"/>
    <w:rsid w:val="354324AE"/>
    <w:rsid w:val="36786526"/>
    <w:rsid w:val="37661EDA"/>
    <w:rsid w:val="3A5D56AD"/>
    <w:rsid w:val="3B2B4126"/>
    <w:rsid w:val="3C0A0F50"/>
    <w:rsid w:val="3D2D215E"/>
    <w:rsid w:val="3EF83A5E"/>
    <w:rsid w:val="3F3900E6"/>
    <w:rsid w:val="3FE37B0A"/>
    <w:rsid w:val="4056163C"/>
    <w:rsid w:val="40943B33"/>
    <w:rsid w:val="461E66E0"/>
    <w:rsid w:val="490C1813"/>
    <w:rsid w:val="49AB736A"/>
    <w:rsid w:val="4E8438B4"/>
    <w:rsid w:val="502E2608"/>
    <w:rsid w:val="51082110"/>
    <w:rsid w:val="522B1BFC"/>
    <w:rsid w:val="5290573F"/>
    <w:rsid w:val="55033684"/>
    <w:rsid w:val="55254CE6"/>
    <w:rsid w:val="59286535"/>
    <w:rsid w:val="595E1FF9"/>
    <w:rsid w:val="5A192B36"/>
    <w:rsid w:val="5B6B3D6C"/>
    <w:rsid w:val="5D9077FB"/>
    <w:rsid w:val="5D971C5A"/>
    <w:rsid w:val="5E833CC0"/>
    <w:rsid w:val="5F0E42B8"/>
    <w:rsid w:val="61944DC2"/>
    <w:rsid w:val="620A7149"/>
    <w:rsid w:val="642A69F3"/>
    <w:rsid w:val="65D23798"/>
    <w:rsid w:val="6D011033"/>
    <w:rsid w:val="6D171E11"/>
    <w:rsid w:val="74D23E69"/>
    <w:rsid w:val="76CB7350"/>
    <w:rsid w:val="79980141"/>
    <w:rsid w:val="7FBD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sz w:val="21"/>
      <w:szCs w:val="22"/>
      <w:lang w:val="en-US" w:eastAsia="zh-CN" w:bidi="ar-SA"/>
    </w:rPr>
  </w:style>
  <w:style w:type="paragraph" w:styleId="2">
    <w:name w:val="heading 1"/>
    <w:basedOn w:val="1"/>
    <w:next w:val="1"/>
    <w:link w:val="14"/>
    <w:qFormat/>
    <w:uiPriority w:val="0"/>
    <w:pPr>
      <w:keepNext/>
      <w:keepLines/>
      <w:spacing w:before="160" w:after="160" w:line="360" w:lineRule="auto"/>
      <w:jc w:val="center"/>
      <w:outlineLvl w:val="0"/>
    </w:pPr>
    <w:rPr>
      <w:rFonts w:ascii="宋体" w:hAnsi="宋体" w:eastAsia="宋体" w:cs="宋体"/>
      <w:b/>
      <w:bCs/>
      <w:kern w:val="44"/>
      <w:sz w:val="36"/>
      <w:szCs w:val="44"/>
    </w:rPr>
  </w:style>
  <w:style w:type="paragraph" w:styleId="3">
    <w:name w:val="heading 2"/>
    <w:basedOn w:val="1"/>
    <w:next w:val="1"/>
    <w:link w:val="13"/>
    <w:autoRedefine/>
    <w:semiHidden/>
    <w:unhideWhenUsed/>
    <w:qFormat/>
    <w:uiPriority w:val="0"/>
    <w:pPr>
      <w:spacing w:before="0" w:beforeAutospacing="1" w:after="0" w:afterAutospacing="1"/>
      <w:jc w:val="center"/>
      <w:outlineLvl w:val="1"/>
    </w:pPr>
    <w:rPr>
      <w:rFonts w:hint="eastAsia" w:ascii="宋体" w:hAnsi="宋体" w:eastAsia="宋体" w:cs="宋体"/>
      <w:b/>
      <w:bCs/>
      <w:kern w:val="0"/>
      <w:sz w:val="36"/>
      <w:szCs w:val="36"/>
      <w:lang w:bidi="ar"/>
    </w:rPr>
  </w:style>
  <w:style w:type="paragraph" w:styleId="4">
    <w:name w:val="heading 3"/>
    <w:basedOn w:val="1"/>
    <w:next w:val="1"/>
    <w:link w:val="15"/>
    <w:autoRedefine/>
    <w:semiHidden/>
    <w:unhideWhenUsed/>
    <w:qFormat/>
    <w:uiPriority w:val="0"/>
    <w:pPr>
      <w:keepNext/>
      <w:keepLines/>
      <w:spacing w:before="260" w:after="260" w:line="412" w:lineRule="auto"/>
      <w:ind w:firstLine="49" w:firstLineChars="49"/>
      <w:jc w:val="center"/>
      <w:outlineLvl w:val="2"/>
    </w:pPr>
    <w:rPr>
      <w:rFonts w:ascii="黑体" w:hAnsi="黑体" w:eastAsia="宋体" w:cs="Times New Roman"/>
      <w:b/>
      <w:snapToGrid w:val="0"/>
      <w:color w:val="000000"/>
      <w:kern w:val="0"/>
      <w:sz w:val="28"/>
      <w:lang w:eastAsia="en-US"/>
    </w:rPr>
  </w:style>
  <w:style w:type="paragraph" w:styleId="5">
    <w:name w:val="heading 4"/>
    <w:basedOn w:val="1"/>
    <w:next w:val="1"/>
    <w:link w:val="17"/>
    <w:autoRedefine/>
    <w:semiHidden/>
    <w:unhideWhenUsed/>
    <w:qFormat/>
    <w:uiPriority w:val="0"/>
    <w:pPr>
      <w:keepNext/>
      <w:keepLines/>
      <w:widowControl/>
      <w:tabs>
        <w:tab w:val="left" w:pos="864"/>
      </w:tabs>
      <w:adjustRightInd w:val="0"/>
      <w:spacing w:before="280" w:beforeLines="0" w:after="290" w:afterLines="0" w:line="360" w:lineRule="auto"/>
      <w:ind w:left="0" w:firstLine="862"/>
      <w:jc w:val="center"/>
      <w:textAlignment w:val="baseline"/>
      <w:outlineLvl w:val="3"/>
    </w:pPr>
    <w:rPr>
      <w:rFonts w:ascii="Arial" w:hAnsi="Arial" w:eastAsia="宋体" w:cs="Times New Roman"/>
      <w:b/>
      <w:kern w:val="0"/>
      <w:sz w:val="28"/>
      <w:szCs w:val="20"/>
    </w:rPr>
  </w:style>
  <w:style w:type="paragraph" w:styleId="6">
    <w:name w:val="heading 5"/>
    <w:basedOn w:val="1"/>
    <w:next w:val="1"/>
    <w:link w:val="16"/>
    <w:semiHidden/>
    <w:unhideWhenUsed/>
    <w:qFormat/>
    <w:uiPriority w:val="0"/>
    <w:pPr>
      <w:keepNext/>
      <w:keepLines/>
      <w:spacing w:before="280" w:beforeLines="0" w:beforeAutospacing="0" w:after="290" w:afterLines="0" w:afterAutospacing="0" w:line="372" w:lineRule="auto"/>
      <w:jc w:val="center"/>
      <w:outlineLvl w:val="4"/>
    </w:pPr>
    <w:rPr>
      <w:rFonts w:hint="eastAsia" w:ascii="Times New Roman" w:hAnsi="Times New Roman" w:eastAsia="宋体" w:cs="Times New Roman"/>
      <w:b/>
      <w:sz w:val="28"/>
    </w:rPr>
  </w:style>
  <w:style w:type="character" w:default="1" w:styleId="11">
    <w:name w:val="Default Paragraph Font"/>
    <w:autoRedefine/>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Body Text"/>
    <w:basedOn w:val="1"/>
    <w:semiHidden/>
    <w:qFormat/>
    <w:uiPriority w:val="0"/>
    <w:rPr>
      <w:rFonts w:ascii="宋体" w:hAnsi="宋体" w:cs="宋体"/>
      <w:sz w:val="28"/>
      <w:szCs w:val="28"/>
      <w:lang w:eastAsia="en-US"/>
    </w:rPr>
  </w:style>
  <w:style w:type="paragraph" w:styleId="9">
    <w:name w:val="Normal (Web)"/>
    <w:basedOn w:val="1"/>
    <w:qFormat/>
    <w:uiPriority w:val="0"/>
    <w:pPr>
      <w:spacing w:beforeAutospacing="1" w:afterAutospacing="1"/>
      <w:jc w:val="left"/>
    </w:pPr>
    <w:rPr>
      <w:sz w:val="24"/>
    </w:rPr>
  </w:style>
  <w:style w:type="character" w:styleId="12">
    <w:name w:val="Strong"/>
    <w:basedOn w:val="11"/>
    <w:qFormat/>
    <w:uiPriority w:val="0"/>
    <w:rPr>
      <w:b/>
    </w:rPr>
  </w:style>
  <w:style w:type="character" w:customStyle="1" w:styleId="13">
    <w:name w:val="标题 2 Char"/>
    <w:basedOn w:val="11"/>
    <w:link w:val="3"/>
    <w:autoRedefine/>
    <w:qFormat/>
    <w:uiPriority w:val="0"/>
    <w:rPr>
      <w:rFonts w:ascii="宋体" w:hAnsi="宋体" w:eastAsia="宋体" w:cs="宋体"/>
      <w:b/>
      <w:spacing w:val="11"/>
      <w:sz w:val="32"/>
      <w:szCs w:val="22"/>
    </w:rPr>
  </w:style>
  <w:style w:type="character" w:customStyle="1" w:styleId="14">
    <w:name w:val="标题 1 字符"/>
    <w:link w:val="2"/>
    <w:qFormat/>
    <w:uiPriority w:val="0"/>
    <w:rPr>
      <w:rFonts w:hint="eastAsia" w:ascii="宋体" w:hAnsi="宋体" w:eastAsia="宋体" w:cs="宋体"/>
      <w:b/>
      <w:bCs/>
      <w:snapToGrid w:val="0"/>
      <w:color w:val="000000"/>
      <w:kern w:val="44"/>
      <w:sz w:val="36"/>
      <w:szCs w:val="21"/>
      <w:lang w:eastAsia="en-US"/>
    </w:rPr>
  </w:style>
  <w:style w:type="character" w:customStyle="1" w:styleId="15">
    <w:name w:val="标题 3 Char"/>
    <w:basedOn w:val="11"/>
    <w:link w:val="4"/>
    <w:qFormat/>
    <w:uiPriority w:val="0"/>
    <w:rPr>
      <w:rFonts w:ascii="黑体" w:hAnsi="黑体" w:eastAsia="宋体" w:cs="Times New Roman"/>
      <w:b/>
      <w:snapToGrid w:val="0"/>
      <w:color w:val="000000"/>
      <w:kern w:val="0"/>
      <w:sz w:val="28"/>
      <w:szCs w:val="20"/>
      <w:lang w:eastAsia="en-US"/>
    </w:rPr>
  </w:style>
  <w:style w:type="character" w:customStyle="1" w:styleId="16">
    <w:name w:val="标题 5 Char"/>
    <w:link w:val="6"/>
    <w:qFormat/>
    <w:uiPriority w:val="0"/>
    <w:rPr>
      <w:rFonts w:hint="eastAsia" w:ascii="Times New Roman" w:hAnsi="Times New Roman" w:eastAsia="宋体" w:cs="Times New Roman"/>
      <w:b/>
      <w:sz w:val="28"/>
    </w:rPr>
  </w:style>
  <w:style w:type="character" w:customStyle="1" w:styleId="17">
    <w:name w:val="标题 4 Char1"/>
    <w:link w:val="5"/>
    <w:qFormat/>
    <w:uiPriority w:val="0"/>
    <w:rPr>
      <w:rFonts w:ascii="Arial" w:hAnsi="Arial" w:eastAsia="宋体" w:cs="Times New Roman"/>
      <w:b/>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4971</Words>
  <Characters>5142</Characters>
  <Lines>0</Lines>
  <Paragraphs>0</Paragraphs>
  <TotalTime>32</TotalTime>
  <ScaleCrop>false</ScaleCrop>
  <LinksUpToDate>false</LinksUpToDate>
  <CharactersWithSpaces>5179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2026-06-05T06:30:00Z</dcterms:created>
  <dc:creator>空城</dc:creator>
  <cp:lastModifiedBy>葛晓东</cp:lastModifiedBy>
  <dcterms:modified xsi:type="dcterms:W3CDTF">2026-06-12T05:06:34Z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62D0929A13204250A5DF38FC431FE452_11</vt:lpwstr>
  </property>
  <property fmtid="{D5CDD505-2E9C-101B-9397-08002B2CF9AE}" pid="4" name="KSOTemplateDocerSaveRecord">
    <vt:lpwstr>eyJoZGlkIjoiYjAwYzgyNDMzMzJiOTUyMDJhM2IxYmRiMDlmMDMxZWQiLCJ1c2VySWQiOiIyNDIxNjk5OTAifQ==</vt:lpwstr>
  </property>
</Properties>
</file>