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5B5">
      <w:pPr>
        <w:keepNext w:val="0"/>
        <w:keepLines w:val="0"/>
        <w:pageBreakBefore w:val="0"/>
        <w:widowControl w:val="0"/>
        <w:kinsoku/>
        <w:wordWrap/>
        <w:overflowPunct/>
        <w:topLinePunct w:val="0"/>
        <w:autoSpaceDE/>
        <w:autoSpaceDN/>
        <w:bidi w:val="0"/>
        <w:adjustRightInd/>
        <w:snapToGrid/>
        <w:spacing w:before="480" w:after="480" w:line="640" w:lineRule="exact"/>
        <w:ind w:left="0" w:firstLine="0" w:firstLineChars="0"/>
        <w:contextualSpacing w:val="0"/>
        <w:jc w:val="center"/>
        <w:textAlignment w:val="auto"/>
        <w:rPr>
          <w:rFonts w:hint="eastAsia" w:ascii="方正小标宋简体" w:hAnsi="方正小标宋简体" w:eastAsia="方正小标宋简体" w:cs="方正小标宋简体"/>
          <w:b w:val="0"/>
          <w:bCs/>
          <w:kern w:val="0"/>
          <w:sz w:val="44"/>
          <w:szCs w:val="44"/>
          <w:highlight w:val="none"/>
          <w:lang w:val="en-US"/>
        </w:rPr>
      </w:pPr>
      <w:r>
        <w:rPr>
          <w:rFonts w:hint="eastAsia" w:ascii="方正小标宋简体" w:hAnsi="方正小标宋简体" w:eastAsia="方正小标宋简体" w:cs="方正小标宋简体"/>
          <w:b w:val="0"/>
          <w:bCs/>
          <w:kern w:val="0"/>
          <w:sz w:val="44"/>
          <w:szCs w:val="44"/>
          <w:highlight w:val="none"/>
        </w:rPr>
        <w:t>济南热电集团有限公司金鸡岭厂区废旧资产一宗</w:t>
      </w:r>
      <w:r>
        <w:rPr>
          <w:rFonts w:hint="eastAsia" w:ascii="方正小标宋简体" w:hAnsi="方正小标宋简体" w:eastAsia="方正小标宋简体" w:cs="方正小标宋简体"/>
          <w:b w:val="0"/>
          <w:bCs/>
          <w:kern w:val="0"/>
          <w:sz w:val="44"/>
          <w:szCs w:val="44"/>
          <w:highlight w:val="none"/>
          <w:lang w:val="en-US" w:eastAsia="zh-CN"/>
        </w:rPr>
        <w:t>转让项目责任告知书</w:t>
      </w:r>
    </w:p>
    <w:p w14:paraId="320C4E89">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竞买人成为合格买受人并与转让方</w:t>
      </w:r>
      <w:r>
        <w:rPr>
          <w:rFonts w:hint="eastAsia" w:ascii="方正仿宋_GB2312" w:hAnsi="方正仿宋_GB2312" w:eastAsia="方正仿宋_GB2312" w:cs="方正仿宋_GB2312"/>
        </w:rPr>
        <w:t>签订《资产</w:t>
      </w:r>
      <w:r>
        <w:rPr>
          <w:rFonts w:hint="eastAsia" w:ascii="方正仿宋_GB2312" w:hAnsi="方正仿宋_GB2312" w:eastAsia="方正仿宋_GB2312" w:cs="方正仿宋_GB2312"/>
          <w:lang w:val="en-US" w:eastAsia="zh-CN"/>
        </w:rPr>
        <w:t>交易</w:t>
      </w:r>
      <w:r>
        <w:rPr>
          <w:rFonts w:hint="eastAsia" w:ascii="方正仿宋_GB2312" w:hAnsi="方正仿宋_GB2312" w:eastAsia="方正仿宋_GB2312" w:cs="方正仿宋_GB2312"/>
        </w:rPr>
        <w:t>合同》之日起，</w:t>
      </w:r>
      <w:r>
        <w:rPr>
          <w:rFonts w:hint="eastAsia" w:ascii="方正仿宋_GB2312" w:hAnsi="方正仿宋_GB2312" w:eastAsia="方正仿宋_GB2312" w:cs="方正仿宋_GB2312"/>
          <w:lang w:val="en-US" w:eastAsia="zh-CN"/>
        </w:rPr>
        <w:t>转让</w:t>
      </w:r>
      <w:r>
        <w:rPr>
          <w:rFonts w:hint="eastAsia" w:ascii="方正仿宋_GB2312" w:hAnsi="方正仿宋_GB2312" w:eastAsia="方正仿宋_GB2312" w:cs="方正仿宋_GB2312"/>
        </w:rPr>
        <w:t>方已尽到风险告知义务，本项目标的资产所有权、管理权正式转移，</w:t>
      </w:r>
      <w:r>
        <w:rPr>
          <w:rFonts w:hint="eastAsia" w:ascii="方正仿宋_GB2312" w:hAnsi="方正仿宋_GB2312" w:eastAsia="方正仿宋_GB2312" w:cs="方正仿宋_GB2312"/>
          <w:lang w:val="en-US" w:eastAsia="zh-CN"/>
        </w:rPr>
        <w:t>标的物</w:t>
      </w:r>
      <w:r>
        <w:rPr>
          <w:rFonts w:hint="eastAsia" w:ascii="方正仿宋_GB2312" w:hAnsi="方正仿宋_GB2312" w:eastAsia="方正仿宋_GB2312" w:cs="方正仿宋_GB2312"/>
        </w:rPr>
        <w:t>区域内安全、环保、职业健康、废弃物清运处置、现场施工管控等全部风险及法定责任，统一由</w:t>
      </w: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rPr>
        <w:t>承担。</w:t>
      </w:r>
      <w:bookmarkStart w:id="0" w:name="OLE_LINK1"/>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rPr>
        <w:t>为本</w:t>
      </w:r>
      <w:r>
        <w:rPr>
          <w:rFonts w:hint="eastAsia" w:ascii="方正仿宋_GB2312" w:hAnsi="方正仿宋_GB2312" w:eastAsia="方正仿宋_GB2312" w:cs="方正仿宋_GB2312"/>
          <w:lang w:val="en-US" w:eastAsia="zh-CN"/>
        </w:rPr>
        <w:t>标的物</w:t>
      </w:r>
      <w:r>
        <w:rPr>
          <w:rFonts w:hint="eastAsia" w:ascii="方正仿宋_GB2312" w:hAnsi="方正仿宋_GB2312" w:eastAsia="方正仿宋_GB2312" w:cs="方正仿宋_GB2312"/>
        </w:rPr>
        <w:t>安全责任主体</w:t>
      </w:r>
      <w:bookmarkEnd w:id="0"/>
      <w:r>
        <w:rPr>
          <w:rFonts w:hint="eastAsia" w:ascii="方正仿宋_GB2312" w:hAnsi="方正仿宋_GB2312" w:eastAsia="方正仿宋_GB2312" w:cs="方正仿宋_GB2312"/>
        </w:rPr>
        <w:t>，对</w:t>
      </w:r>
      <w:r>
        <w:rPr>
          <w:rFonts w:hint="eastAsia" w:ascii="方正仿宋_GB2312" w:hAnsi="方正仿宋_GB2312" w:eastAsia="方正仿宋_GB2312" w:cs="方正仿宋_GB2312"/>
          <w:lang w:val="en-US" w:eastAsia="zh-CN"/>
        </w:rPr>
        <w:t>标的物</w:t>
      </w:r>
      <w:r>
        <w:rPr>
          <w:rFonts w:hint="eastAsia" w:ascii="方正仿宋_GB2312" w:hAnsi="方正仿宋_GB2312" w:eastAsia="方正仿宋_GB2312" w:cs="方正仿宋_GB2312"/>
        </w:rPr>
        <w:t>区域内人员、机具、设备、设施及</w:t>
      </w:r>
      <w:r>
        <w:rPr>
          <w:rFonts w:hint="eastAsia" w:ascii="方正仿宋_GB2312" w:hAnsi="方正仿宋_GB2312" w:eastAsia="方正仿宋_GB2312" w:cs="方正仿宋_GB2312"/>
          <w:lang w:val="en-US" w:eastAsia="zh-CN"/>
        </w:rPr>
        <w:t>处置</w:t>
      </w:r>
      <w:r>
        <w:rPr>
          <w:rFonts w:hint="eastAsia" w:ascii="方正仿宋_GB2312" w:hAnsi="方正仿宋_GB2312" w:eastAsia="方正仿宋_GB2312" w:cs="方正仿宋_GB2312"/>
        </w:rPr>
        <w:t>全过程负全面安全、环保主体责任。</w:t>
      </w:r>
    </w:p>
    <w:p w14:paraId="6F39B673">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具体要求如下：</w:t>
      </w:r>
    </w:p>
    <w:p w14:paraId="7DD2F73B">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黑体" w:hAnsi="黑体" w:eastAsia="黑体" w:cs="黑体"/>
        </w:rPr>
      </w:pPr>
      <w:r>
        <w:rPr>
          <w:rFonts w:hint="eastAsia" w:ascii="黑体" w:hAnsi="黑体" w:eastAsia="黑体" w:cs="黑体"/>
        </w:rPr>
        <w:t>一、</w:t>
      </w:r>
      <w:r>
        <w:rPr>
          <w:rFonts w:hint="eastAsia" w:ascii="黑体" w:hAnsi="黑体" w:eastAsia="黑体" w:cs="黑体"/>
          <w:lang w:val="en-US" w:eastAsia="zh-CN"/>
        </w:rPr>
        <w:t>买受人</w:t>
      </w:r>
      <w:r>
        <w:rPr>
          <w:rFonts w:hint="eastAsia" w:ascii="黑体" w:hAnsi="黑体" w:eastAsia="黑体" w:cs="黑体"/>
        </w:rPr>
        <w:t>安全管理主体责任要求：</w:t>
      </w:r>
    </w:p>
    <w:p w14:paraId="14194D52">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一</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全面承担项目风险与法律责任</w:t>
      </w:r>
    </w:p>
    <w:p w14:paraId="29B7F9D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highlight w:val="none"/>
        </w:rPr>
        <w:t>须全面负责项目施工全过程各类风险防控，包括但不限于自然灾害、第三方侵权引发的各类损失；</w:t>
      </w: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highlight w:val="none"/>
        </w:rPr>
        <w:t>及所属雇佣人员人身伤害、伤亡事故损失；对第三方造成人身和财产损失；施工违规产生的罚款、整改治理费用、事故善后处置及全部赔付责任等均由</w:t>
      </w: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highlight w:val="none"/>
        </w:rPr>
        <w:t>独立承担。</w:t>
      </w:r>
    </w:p>
    <w:p w14:paraId="11F95A2C">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二</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落实前期风险排查与开工报备工作</w:t>
      </w:r>
    </w:p>
    <w:p w14:paraId="2604F705">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rPr>
        <w:t>进场前须自行对所有构筑物、设备进行</w:t>
      </w:r>
      <w:r>
        <w:rPr>
          <w:rFonts w:hint="eastAsia" w:ascii="方正仿宋_GB2312" w:hAnsi="方正仿宋_GB2312" w:eastAsia="方正仿宋_GB2312" w:cs="方正仿宋_GB2312"/>
          <w:szCs w:val="32"/>
        </w:rPr>
        <w:t>现场勘察、风险评估、</w:t>
      </w:r>
      <w:r>
        <w:rPr>
          <w:rFonts w:hint="eastAsia" w:ascii="方正仿宋_GB2312" w:hAnsi="方正仿宋_GB2312" w:eastAsia="方正仿宋_GB2312" w:cs="方正仿宋_GB2312"/>
        </w:rPr>
        <w:t>全面检测和安全隔离，确认无安全隐患后方可施工，由此产生的所有费用和责任由</w:t>
      </w: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rPr>
        <w:t>承担。拆除开工前</w:t>
      </w:r>
      <w:r>
        <w:rPr>
          <w:rFonts w:hint="eastAsia" w:ascii="方正仿宋_GB2312" w:hAnsi="方正仿宋_GB2312" w:eastAsia="方正仿宋_GB2312" w:cs="方正仿宋_GB2312"/>
          <w:lang w:val="en-US" w:eastAsia="zh-CN"/>
        </w:rPr>
        <w:t>转</w:t>
      </w:r>
      <w:r>
        <w:rPr>
          <w:rFonts w:hint="eastAsia" w:ascii="方正仿宋_GB2312" w:hAnsi="方正仿宋_GB2312" w:eastAsia="方正仿宋_GB2312" w:cs="方正仿宋_GB2312"/>
        </w:rPr>
        <w:t>让方、</w:t>
      </w:r>
      <w:r>
        <w:rPr>
          <w:rFonts w:hint="eastAsia" w:ascii="方正仿宋_GB2312" w:hAnsi="方正仿宋_GB2312" w:eastAsia="方正仿宋_GB2312" w:cs="方正仿宋_GB2312"/>
          <w:lang w:val="en-US" w:eastAsia="zh-CN"/>
        </w:rPr>
        <w:t>买受人</w:t>
      </w:r>
      <w:r>
        <w:rPr>
          <w:rFonts w:hint="eastAsia" w:ascii="方正仿宋_GB2312" w:hAnsi="方正仿宋_GB2312" w:eastAsia="方正仿宋_GB2312" w:cs="方正仿宋_GB2312"/>
        </w:rPr>
        <w:t>一并前往住建局、应急局等主管部门进行拆除开工事宜报备，取得许可。</w:t>
      </w:r>
    </w:p>
    <w:p w14:paraId="278534AA">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三</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规范工程分包及施工资质管理</w:t>
      </w:r>
    </w:p>
    <w:p w14:paraId="3C4219E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买受人不得将拆除工程违法转包，超危大工程拆除施工单位须具备建筑工程施工总承包二级及以上相应资质证书。施工单位资质、特种作业人员证件、施工现场合规性全部由买受人统一审核管控，并向转让方提交备案。买受人应对分包单位的安全行为负责并承担连带责任。拆除施工前买受人承担超危大工程施工方案编制、专家论证、监测监控、应急演练等所有相关的费用。施工方案必须由买受人（或买受人雇佣的施工单位）组织编制，买受人雇佣的施工单位编制施工方案的须买受人与买受人雇佣的施工单位共同盖章，不得委托第三方编制。买受人（或买受人雇佣的施工单位）项目经理、安全员必须持证上岗，明确界定其作为拆除作业主体的全部安全责任。</w:t>
      </w:r>
    </w:p>
    <w:p w14:paraId="4EE96D77">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四</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超危大工程专项管控要求</w:t>
      </w:r>
    </w:p>
    <w:p w14:paraId="3077AA8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买受人必须按照规定设置安全警示标志和警戒区域，严禁无关人员进入拆除区域。进行烟囱、凉水塔涉及超危大拆除的施工单位必须具备符合规范要求的资质，同时具备有效的安全生产许可证。严格按照《危险性较大的分部分项工程安全管理规定》(住建部令第37号)的要求编制正式专项施工方案，并组织济南市房屋建筑和燃气供热工程危险性较大分部分项工程专项施工方案论证专家库专家(不少于5人)论证，论证通过后向住建局、应急局等政府部门进行报备，方可组织施工。专项施工方案经专家论证通过后，不得擅自修改。对于按照规定或上级部门意</w:t>
      </w:r>
      <w:bookmarkStart w:id="1" w:name="_GoBack"/>
      <w:bookmarkEnd w:id="1"/>
      <w:r>
        <w:rPr>
          <w:rFonts w:hint="eastAsia" w:ascii="方正仿宋_GB2312" w:hAnsi="方正仿宋_GB2312" w:eastAsia="方正仿宋_GB2312" w:cs="方正仿宋_GB2312"/>
          <w:lang w:val="en-US" w:eastAsia="zh-CN"/>
        </w:rPr>
        <w:t>见需进行第三方监测的施工项目，受让方应委托具有相应资质的单位进行监测，并承担相关费用。</w:t>
      </w:r>
    </w:p>
    <w:p w14:paraId="23F6C94C">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五</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落实安全教育交底及保险保障工作</w:t>
      </w:r>
    </w:p>
    <w:p w14:paraId="4D951B7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lang w:val="en-US" w:eastAsia="zh-CN"/>
        </w:rPr>
        <w:t>买受人（或买受人雇佣的施工单位）</w:t>
      </w:r>
      <w:r>
        <w:rPr>
          <w:rFonts w:hint="eastAsia" w:ascii="方正仿宋_GB2312" w:hAnsi="方正仿宋_GB2312" w:eastAsia="方正仿宋_GB2312" w:cs="方正仿宋_GB2312"/>
          <w:highlight w:val="none"/>
        </w:rPr>
        <w:t>须对所有施工作业人员进行三级安全教育和专项安全技术交底，并保留书面记录和签字确认。在进场施工前，为所有施工作业人员购买足额的工伤保险</w:t>
      </w:r>
      <w:r>
        <w:rPr>
          <w:rFonts w:hint="eastAsia" w:ascii="方正仿宋_GB2312" w:hAnsi="方正仿宋_GB2312" w:eastAsia="方正仿宋_GB2312" w:cs="方正仿宋_GB2312"/>
          <w:highlight w:val="none"/>
          <w:lang w:eastAsia="zh-CN"/>
        </w:rPr>
        <w:t>、</w:t>
      </w:r>
      <w:r>
        <w:rPr>
          <w:rFonts w:hint="eastAsia" w:ascii="方正仿宋_GB2312" w:hAnsi="方正仿宋_GB2312" w:eastAsia="方正仿宋_GB2312" w:cs="方正仿宋_GB2312"/>
          <w:highlight w:val="none"/>
        </w:rPr>
        <w:t>人身意外伤害保险</w:t>
      </w:r>
      <w:r>
        <w:rPr>
          <w:rFonts w:hint="eastAsia" w:ascii="方正仿宋_GB2312" w:hAnsi="方正仿宋_GB2312" w:eastAsia="方正仿宋_GB2312" w:cs="方正仿宋_GB2312"/>
          <w:highlight w:val="none"/>
          <w:lang w:val="en-US" w:eastAsia="zh-CN"/>
        </w:rPr>
        <w:t>及</w:t>
      </w:r>
      <w:r>
        <w:rPr>
          <w:rFonts w:hint="eastAsia" w:ascii="方正仿宋_GB2312" w:hAnsi="方正仿宋_GB2312" w:eastAsia="方正仿宋_GB2312" w:cs="方正仿宋_GB2312"/>
          <w:highlight w:val="none"/>
        </w:rPr>
        <w:t>安全生产责任保险</w:t>
      </w:r>
      <w:r>
        <w:rPr>
          <w:rFonts w:hint="eastAsia" w:ascii="方正仿宋_GB2312" w:hAnsi="方正仿宋_GB2312" w:eastAsia="方正仿宋_GB2312" w:cs="方正仿宋_GB2312"/>
          <w:b/>
          <w:bCs/>
          <w:color w:val="auto"/>
          <w:highlight w:val="none"/>
        </w:rPr>
        <w:t>，</w:t>
      </w:r>
      <w:r>
        <w:rPr>
          <w:rFonts w:hint="eastAsia" w:ascii="方正仿宋_GB2312" w:hAnsi="方正仿宋_GB2312" w:eastAsia="方正仿宋_GB2312" w:cs="方正仿宋_GB2312"/>
          <w:highlight w:val="none"/>
        </w:rPr>
        <w:t>保险受益人应为施工人员。出现施工人员人身伤亡事故无法理赔的，由</w:t>
      </w:r>
      <w:r>
        <w:rPr>
          <w:rFonts w:hint="eastAsia" w:ascii="方正仿宋_GB2312" w:hAnsi="方正仿宋_GB2312" w:eastAsia="方正仿宋_GB2312" w:cs="方正仿宋_GB2312"/>
          <w:highlight w:val="none"/>
          <w:lang w:val="en-US" w:eastAsia="zh-CN"/>
        </w:rPr>
        <w:t>买受人</w:t>
      </w:r>
      <w:r>
        <w:rPr>
          <w:rFonts w:hint="eastAsia" w:ascii="方正仿宋_GB2312" w:hAnsi="方正仿宋_GB2312" w:eastAsia="方正仿宋_GB2312" w:cs="方正仿宋_GB2312"/>
          <w:highlight w:val="none"/>
        </w:rPr>
        <w:t>负责善后处置并承担全部赔付责任。</w:t>
      </w:r>
    </w:p>
    <w:p w14:paraId="6C4C4AB2">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六</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承担违规处罚连带赔偿责任</w:t>
      </w:r>
    </w:p>
    <w:p w14:paraId="45DA890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若因买受人违规拆除、环保违法、安全事故等原因导致转让方被政府部门行政处罚或追究法律责任，买受人须全额赔偿转让方因此遭受的所有损失，包括罚款、律师费、诉讼费、名誉损失等，转让方有权向买受人追偿或从安全保证金扣除。</w:t>
      </w:r>
    </w:p>
    <w:p w14:paraId="77C1D224">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方正楷体_GB2312" w:hAnsi="方正楷体_GB2312" w:eastAsia="方正楷体_GB2312" w:cs="方正楷体_GB2312"/>
          <w:b/>
          <w:bCs/>
        </w:rPr>
      </w:pPr>
      <w:r>
        <w:rPr>
          <w:rFonts w:hint="eastAsia" w:ascii="Times New Roman" w:hAnsi="Times New Roman" w:eastAsia="方正楷体_GB2312" w:cs="Times New Roman"/>
          <w:b/>
          <w:bCs/>
          <w:lang w:eastAsia="zh-CN"/>
        </w:rPr>
        <w:t>（</w:t>
      </w:r>
      <w:r>
        <w:rPr>
          <w:rFonts w:hint="eastAsia" w:ascii="Times New Roman" w:hAnsi="Times New Roman" w:eastAsia="方正楷体_GB2312" w:cs="Times New Roman"/>
          <w:b/>
          <w:bCs/>
          <w:lang w:val="en-US" w:eastAsia="zh-CN"/>
        </w:rPr>
        <w:t>七</w:t>
      </w:r>
      <w:r>
        <w:rPr>
          <w:rFonts w:hint="eastAsia" w:ascii="Times New Roman" w:hAnsi="Times New Roman" w:eastAsia="方正楷体_GB2312" w:cs="Times New Roman"/>
          <w:b/>
          <w:bCs/>
          <w:lang w:eastAsia="zh-CN"/>
        </w:rPr>
        <w:t>）</w:t>
      </w:r>
      <w:r>
        <w:rPr>
          <w:rFonts w:hint="eastAsia" w:ascii="方正楷体_GB2312" w:hAnsi="方正楷体_GB2312" w:eastAsia="方正楷体_GB2312" w:cs="方正楷体_GB2312"/>
          <w:b/>
          <w:bCs/>
        </w:rPr>
        <w:t>签订</w:t>
      </w:r>
      <w:r>
        <w:rPr>
          <w:rFonts w:hint="eastAsia" w:ascii="方正楷体_GB2312" w:hAnsi="方正楷体_GB2312" w:eastAsia="方正楷体_GB2312" w:cs="方正楷体_GB2312"/>
          <w:b/>
          <w:bCs/>
          <w:lang w:val="en-US" w:eastAsia="zh-CN"/>
        </w:rPr>
        <w:t>场地</w:t>
      </w:r>
      <w:r>
        <w:rPr>
          <w:rFonts w:hint="eastAsia" w:ascii="方正楷体_GB2312" w:hAnsi="方正楷体_GB2312" w:eastAsia="方正楷体_GB2312" w:cs="方正楷体_GB2312"/>
          <w:b/>
          <w:bCs/>
        </w:rPr>
        <w:t>租赁合同及安全协议</w:t>
      </w:r>
    </w:p>
    <w:p w14:paraId="05B6956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为便于买受人开展拆除、清运工作，转让方同意将转让资产所依附及拆除作业所需的对应土地临时租赁给买受人使用，同步签署场地风险告知及安全交底。买受人为承租方及拆除工程发包方，是租赁场地及拆除作业安全生产安全责任主体。转让方不再承担项目拆除施工全周期内任何安全、环保、事故赔偿及相关法律责任。</w:t>
      </w:r>
    </w:p>
    <w:p w14:paraId="79F9B531">
      <w:pPr>
        <w:keepNext w:val="0"/>
        <w:keepLines w:val="0"/>
        <w:pageBreakBefore w:val="0"/>
        <w:widowControl w:val="0"/>
        <w:kinsoku/>
        <w:wordWrap/>
        <w:overflowPunct/>
        <w:topLinePunct w:val="0"/>
        <w:autoSpaceDE/>
        <w:autoSpaceDN/>
        <w:bidi w:val="0"/>
        <w:adjustRightInd/>
        <w:snapToGrid/>
        <w:spacing w:line="640" w:lineRule="exact"/>
        <w:ind w:firstLine="640"/>
        <w:textAlignment w:val="auto"/>
        <w:rPr>
          <w:rFonts w:hint="eastAsia" w:ascii="黑体" w:hAnsi="黑体" w:eastAsia="黑体" w:cs="黑体"/>
        </w:rPr>
      </w:pPr>
      <w:r>
        <w:rPr>
          <w:rFonts w:hint="eastAsia" w:ascii="黑体" w:hAnsi="黑体" w:eastAsia="黑体" w:cs="黑体"/>
        </w:rPr>
        <w:t>二、委托监理单位实施专业监督</w:t>
      </w:r>
    </w:p>
    <w:p w14:paraId="7BA912C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2312" w:hAnsi="方正仿宋_GB2312" w:eastAsia="方正仿宋_GB2312" w:cs="方正仿宋_GB2312"/>
          <w:highlight w:val="none"/>
          <w:lang w:val="en-US" w:eastAsia="zh-CN"/>
        </w:rPr>
      </w:pPr>
      <w:r>
        <w:rPr>
          <w:rFonts w:hint="eastAsia" w:ascii="方正仿宋_GB2312" w:hAnsi="方正仿宋_GB2312" w:eastAsia="方正仿宋_GB2312" w:cs="方正仿宋_GB2312"/>
          <w:highlight w:val="none"/>
          <w:lang w:val="en-US" w:eastAsia="zh-CN"/>
        </w:rPr>
        <w:t>转让方委托具备资质的监理单位，严格依照国家法律法规、工程建设强制性标准开展全过程监理工作。重点核查拆除单位安全风险分级管控制度建立及落实情况，监督买受人按风险等级落实对应管控措施；全程监督买受人及其施工单位完成施工作业安全技术交底，确保交底到位、落实到人；对危大工程关键施工节点实施全程旁站监督，严把施工安全质量关口。所有监理检查资料、会议记录、隐患整改督办资料全部留存归档。</w:t>
      </w:r>
    </w:p>
    <w:p w14:paraId="721B5FA8">
      <w:pPr>
        <w:keepNext w:val="0"/>
        <w:keepLines w:val="0"/>
        <w:pageBreakBefore w:val="0"/>
        <w:widowControl w:val="0"/>
        <w:kinsoku/>
        <w:wordWrap/>
        <w:overflowPunct/>
        <w:topLinePunct w:val="0"/>
        <w:autoSpaceDE/>
        <w:autoSpaceDN/>
        <w:bidi w:val="0"/>
        <w:adjustRightInd/>
        <w:snapToGrid/>
        <w:spacing w:line="592" w:lineRule="exact"/>
        <w:ind w:firstLine="640"/>
        <w:textAlignment w:val="auto"/>
      </w:pPr>
    </w:p>
    <w:p w14:paraId="157498A8">
      <w:pPr>
        <w:keepNext w:val="0"/>
        <w:keepLines w:val="0"/>
        <w:pageBreakBefore w:val="0"/>
        <w:widowControl w:val="0"/>
        <w:kinsoku/>
        <w:wordWrap/>
        <w:overflowPunct/>
        <w:topLinePunct w:val="0"/>
        <w:autoSpaceDE/>
        <w:autoSpaceDN/>
        <w:bidi w:val="0"/>
        <w:adjustRightInd/>
        <w:snapToGrid/>
        <w:spacing w:before="120" w:after="120" w:line="592" w:lineRule="exact"/>
        <w:ind w:left="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lang w:eastAsia="zh-CN"/>
        </w:rPr>
        <w:t>买受人</w:t>
      </w:r>
      <w:r>
        <w:rPr>
          <w:rFonts w:hint="eastAsia" w:ascii="方正仿宋_GB2312" w:hAnsi="方正仿宋_GB2312" w:eastAsia="方正仿宋_GB2312" w:cs="方正仿宋_GB2312"/>
          <w:b/>
          <w:sz w:val="32"/>
          <w:szCs w:val="32"/>
        </w:rPr>
        <w:t>（盖章）：</w:t>
      </w:r>
      <w:r>
        <w:rPr>
          <w:rFonts w:hint="eastAsia" w:ascii="方正仿宋_GB2312" w:hAnsi="方正仿宋_GB2312" w:eastAsia="方正仿宋_GB2312" w:cs="方正仿宋_GB2312"/>
          <w:sz w:val="32"/>
          <w:szCs w:val="32"/>
        </w:rPr>
        <w:t>_______________</w:t>
      </w:r>
    </w:p>
    <w:p w14:paraId="2066BB82">
      <w:pPr>
        <w:keepNext w:val="0"/>
        <w:keepLines w:val="0"/>
        <w:pageBreakBefore w:val="0"/>
        <w:widowControl w:val="0"/>
        <w:kinsoku/>
        <w:wordWrap/>
        <w:overflowPunct/>
        <w:topLinePunct w:val="0"/>
        <w:autoSpaceDE/>
        <w:autoSpaceDN/>
        <w:bidi w:val="0"/>
        <w:adjustRightInd/>
        <w:snapToGrid/>
        <w:spacing w:before="120" w:after="120" w:line="592" w:lineRule="exact"/>
        <w:ind w:left="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法定代表人（签字）：</w:t>
      </w:r>
      <w:r>
        <w:rPr>
          <w:rFonts w:hint="eastAsia" w:ascii="方正仿宋_GB2312" w:hAnsi="方正仿宋_GB2312" w:eastAsia="方正仿宋_GB2312" w:cs="方正仿宋_GB2312"/>
          <w:sz w:val="32"/>
          <w:szCs w:val="32"/>
        </w:rPr>
        <w:t>____________</w:t>
      </w:r>
    </w:p>
    <w:p w14:paraId="03D4F0C5">
      <w:pPr>
        <w:keepNext w:val="0"/>
        <w:keepLines w:val="0"/>
        <w:pageBreakBefore w:val="0"/>
        <w:widowControl w:val="0"/>
        <w:kinsoku/>
        <w:wordWrap/>
        <w:overflowPunct/>
        <w:topLinePunct w:val="0"/>
        <w:autoSpaceDE/>
        <w:autoSpaceDN/>
        <w:bidi w:val="0"/>
        <w:adjustRightInd/>
        <w:snapToGrid/>
        <w:spacing w:before="120" w:after="120" w:line="592" w:lineRule="exact"/>
        <w:ind w:left="0"/>
        <w:jc w:val="righ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承诺日期：</w:t>
      </w:r>
      <w:r>
        <w:rPr>
          <w:rFonts w:hint="eastAsia" w:ascii="方正仿宋_GB2312" w:hAnsi="方正仿宋_GB2312" w:eastAsia="方正仿宋_GB2312" w:cs="方正仿宋_GB2312"/>
          <w:sz w:val="32"/>
          <w:szCs w:val="32"/>
        </w:rPr>
        <w:t>_____年_____月_____日</w:t>
      </w:r>
    </w:p>
    <w:p w14:paraId="0291616D">
      <w:pPr>
        <w:ind w:firstLine="640"/>
      </w:pPr>
    </w:p>
    <w:p w14:paraId="4917E531">
      <w:pPr>
        <w:wordWrap w:val="0"/>
        <w:ind w:firstLine="640"/>
        <w:jc w:val="right"/>
      </w:pPr>
      <w:r>
        <w:rPr>
          <w:rFonts w:hint="eastAsia"/>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cols w:space="0" w:num="1"/>
      <w:rtlGutter w:val="0"/>
      <w:docGrid w:type="lines" w:linePitch="43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958D6A-4A41-496F-AEE4-8C7A4BC2E4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D2A98CD3-A626-4A75-833E-0E3F53DC713C}"/>
  </w:font>
  <w:font w:name="方正仿宋_GB2312">
    <w:panose1 w:val="02000000000000000000"/>
    <w:charset w:val="86"/>
    <w:family w:val="auto"/>
    <w:pitch w:val="default"/>
    <w:sig w:usb0="A00002BF" w:usb1="184F6CFA" w:usb2="00000012" w:usb3="00000000" w:csb0="00040001" w:csb1="00000000"/>
    <w:embedRegular r:id="rId3" w:fontKey="{BD9D6B16-B420-486B-BAF0-78795FBDDE68}"/>
  </w:font>
  <w:font w:name="方正楷体_GB2312">
    <w:panose1 w:val="02000000000000000000"/>
    <w:charset w:val="86"/>
    <w:family w:val="auto"/>
    <w:pitch w:val="default"/>
    <w:sig w:usb0="A00002BF" w:usb1="184F6CFA" w:usb2="00000012" w:usb3="00000000" w:csb0="00040001" w:csb1="00000000"/>
    <w:embedRegular r:id="rId4" w:fontKey="{F0605331-7CDD-4B80-ADD5-D75061FA8861}"/>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8717A">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0AF6B">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C0A0D">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11AB1">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86644">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4F5CB">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60"/>
  <w:drawingGridVerticalSpacing w:val="220"/>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BB2"/>
    <w:rsid w:val="00084BED"/>
    <w:rsid w:val="000F4AED"/>
    <w:rsid w:val="0012284D"/>
    <w:rsid w:val="002402A7"/>
    <w:rsid w:val="0025532A"/>
    <w:rsid w:val="00274FA9"/>
    <w:rsid w:val="00294B42"/>
    <w:rsid w:val="002A5E70"/>
    <w:rsid w:val="002B7EDC"/>
    <w:rsid w:val="002C57A2"/>
    <w:rsid w:val="00312A29"/>
    <w:rsid w:val="0038402B"/>
    <w:rsid w:val="003E260A"/>
    <w:rsid w:val="003E41F8"/>
    <w:rsid w:val="0045579E"/>
    <w:rsid w:val="004B68E4"/>
    <w:rsid w:val="004B7EC3"/>
    <w:rsid w:val="004C0577"/>
    <w:rsid w:val="004D6C33"/>
    <w:rsid w:val="00590E05"/>
    <w:rsid w:val="006179BC"/>
    <w:rsid w:val="00641051"/>
    <w:rsid w:val="00655904"/>
    <w:rsid w:val="00681D3D"/>
    <w:rsid w:val="006C3911"/>
    <w:rsid w:val="007452F6"/>
    <w:rsid w:val="0076462A"/>
    <w:rsid w:val="00767EED"/>
    <w:rsid w:val="008C3A07"/>
    <w:rsid w:val="008D2926"/>
    <w:rsid w:val="009B00C6"/>
    <w:rsid w:val="009F2BB2"/>
    <w:rsid w:val="009F6F21"/>
    <w:rsid w:val="00A3358E"/>
    <w:rsid w:val="00A440C7"/>
    <w:rsid w:val="00A9546F"/>
    <w:rsid w:val="00AA4165"/>
    <w:rsid w:val="00B51E47"/>
    <w:rsid w:val="00B54AEA"/>
    <w:rsid w:val="00B5658C"/>
    <w:rsid w:val="00BE6E05"/>
    <w:rsid w:val="00C16CB7"/>
    <w:rsid w:val="00C6608E"/>
    <w:rsid w:val="00C66534"/>
    <w:rsid w:val="00C77EAA"/>
    <w:rsid w:val="00CC4A0B"/>
    <w:rsid w:val="00CF4663"/>
    <w:rsid w:val="00D81209"/>
    <w:rsid w:val="00DA71DB"/>
    <w:rsid w:val="00DB328D"/>
    <w:rsid w:val="00E25AD2"/>
    <w:rsid w:val="00E82721"/>
    <w:rsid w:val="06F81EDC"/>
    <w:rsid w:val="070B7F56"/>
    <w:rsid w:val="12555A81"/>
    <w:rsid w:val="17F43F30"/>
    <w:rsid w:val="1A205C97"/>
    <w:rsid w:val="23687C3A"/>
    <w:rsid w:val="2D06518C"/>
    <w:rsid w:val="37F429AD"/>
    <w:rsid w:val="44603714"/>
    <w:rsid w:val="472F6E2A"/>
    <w:rsid w:val="47C93469"/>
    <w:rsid w:val="57D04B60"/>
    <w:rsid w:val="59BC275A"/>
    <w:rsid w:val="5CD2466B"/>
    <w:rsid w:val="5D932C5C"/>
    <w:rsid w:val="5DFE307A"/>
    <w:rsid w:val="602F721F"/>
    <w:rsid w:val="61BF45F1"/>
    <w:rsid w:val="682E2E4C"/>
    <w:rsid w:val="70A40AF3"/>
    <w:rsid w:val="748501A4"/>
    <w:rsid w:val="74C57078"/>
    <w:rsid w:val="761B6502"/>
    <w:rsid w:val="7A371CC9"/>
    <w:rsid w:val="7B5F2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contextualSpacing/>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link w:val="26"/>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4"/>
    <w:unhideWhenUsed/>
    <w:qFormat/>
    <w:uiPriority w:val="9"/>
    <w:pPr>
      <w:keepNext/>
      <w:keepLines/>
      <w:outlineLvl w:val="1"/>
    </w:pPr>
    <w:rPr>
      <w:rFonts w:eastAsia="黑体" w:asciiTheme="majorHAnsi" w:hAnsiTheme="majorHAnsi" w:cstheme="majorBidi"/>
      <w:bCs/>
      <w:szCs w:val="32"/>
    </w:rPr>
  </w:style>
  <w:style w:type="paragraph" w:styleId="4">
    <w:name w:val="heading 3"/>
    <w:basedOn w:val="1"/>
    <w:next w:val="1"/>
    <w:link w:val="25"/>
    <w:unhideWhenUsed/>
    <w:qFormat/>
    <w:uiPriority w:val="9"/>
    <w:pPr>
      <w:keepNext/>
      <w:keepLines/>
      <w:outlineLvl w:val="2"/>
    </w:pPr>
    <w:rPr>
      <w:b/>
      <w:bCs/>
      <w:szCs w:val="32"/>
    </w:rPr>
  </w:style>
  <w:style w:type="paragraph" w:styleId="5">
    <w:name w:val="heading 4"/>
    <w:basedOn w:val="1"/>
    <w:next w:val="1"/>
    <w:link w:val="27"/>
    <w:semiHidden/>
    <w:unhideWhenUsed/>
    <w:qFormat/>
    <w:uiPriority w:val="9"/>
    <w:pPr>
      <w:keepNext/>
      <w:keepLines/>
      <w:spacing w:before="80" w:after="40"/>
      <w:outlineLvl w:val="3"/>
    </w:pPr>
    <w:rPr>
      <w:rFonts w:eastAsiaTheme="minorEastAsia" w:cstheme="majorBidi"/>
      <w:color w:val="2F5597" w:themeColor="accent1" w:themeShade="BF"/>
      <w:sz w:val="28"/>
      <w:szCs w:val="28"/>
    </w:rPr>
  </w:style>
  <w:style w:type="paragraph" w:styleId="6">
    <w:name w:val="heading 5"/>
    <w:basedOn w:val="1"/>
    <w:next w:val="1"/>
    <w:link w:val="28"/>
    <w:semiHidden/>
    <w:unhideWhenUsed/>
    <w:qFormat/>
    <w:uiPriority w:val="9"/>
    <w:pPr>
      <w:keepNext/>
      <w:keepLines/>
      <w:spacing w:before="80" w:after="40"/>
      <w:outlineLvl w:val="4"/>
    </w:pPr>
    <w:rPr>
      <w:rFonts w:eastAsiaTheme="minorEastAsia" w:cstheme="majorBidi"/>
      <w:color w:val="2F5597" w:themeColor="accent1" w:themeShade="BF"/>
      <w:sz w:val="24"/>
    </w:rPr>
  </w:style>
  <w:style w:type="paragraph" w:styleId="7">
    <w:name w:val="heading 6"/>
    <w:basedOn w:val="1"/>
    <w:next w:val="1"/>
    <w:link w:val="29"/>
    <w:semiHidden/>
    <w:unhideWhenUsed/>
    <w:qFormat/>
    <w:uiPriority w:val="9"/>
    <w:pPr>
      <w:keepNext/>
      <w:keepLines/>
      <w:spacing w:before="40"/>
      <w:outlineLvl w:val="5"/>
    </w:pPr>
    <w:rPr>
      <w:rFonts w:eastAsiaTheme="minorEastAsia" w:cstheme="majorBidi"/>
      <w:b/>
      <w:bCs/>
      <w:color w:val="2F5597" w:themeColor="accent1" w:themeShade="BF"/>
    </w:rPr>
  </w:style>
  <w:style w:type="paragraph" w:styleId="8">
    <w:name w:val="heading 7"/>
    <w:basedOn w:val="1"/>
    <w:next w:val="1"/>
    <w:link w:val="30"/>
    <w:semiHidden/>
    <w:unhideWhenUsed/>
    <w:qFormat/>
    <w:uiPriority w:val="9"/>
    <w:pPr>
      <w:keepNext/>
      <w:keepLines/>
      <w:spacing w:before="40"/>
      <w:outlineLvl w:val="6"/>
    </w:pPr>
    <w:rPr>
      <w:rFonts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outlineLvl w:val="7"/>
    </w:pPr>
    <w:rPr>
      <w:rFonts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5"/>
    <w:semiHidden/>
    <w:unhideWhenUsed/>
    <w:qFormat/>
    <w:uiPriority w:val="99"/>
    <w:pPr>
      <w:jc w:val="left"/>
    </w:pPr>
  </w:style>
  <w:style w:type="paragraph" w:styleId="12">
    <w:name w:val="Body Text"/>
    <w:basedOn w:val="1"/>
    <w:link w:val="22"/>
    <w:semiHidden/>
    <w:unhideWhenUsed/>
    <w:qFormat/>
    <w:uiPriority w:val="99"/>
    <w:pPr>
      <w:spacing w:after="120"/>
    </w:pPr>
  </w:style>
  <w:style w:type="paragraph" w:styleId="13">
    <w:name w:val="footer"/>
    <w:basedOn w:val="1"/>
    <w:link w:val="43"/>
    <w:unhideWhenUsed/>
    <w:qFormat/>
    <w:uiPriority w:val="99"/>
    <w:pPr>
      <w:tabs>
        <w:tab w:val="center" w:pos="4153"/>
        <w:tab w:val="right" w:pos="8306"/>
      </w:tabs>
      <w:snapToGrid w:val="0"/>
      <w:spacing w:line="240" w:lineRule="atLeast"/>
      <w:jc w:val="left"/>
    </w:pPr>
    <w:rPr>
      <w:sz w:val="18"/>
      <w:szCs w:val="18"/>
    </w:rPr>
  </w:style>
  <w:style w:type="paragraph" w:styleId="14">
    <w:name w:val="header"/>
    <w:basedOn w:val="1"/>
    <w:link w:val="42"/>
    <w:unhideWhenUsed/>
    <w:qFormat/>
    <w:uiPriority w:val="99"/>
    <w:pPr>
      <w:tabs>
        <w:tab w:val="center" w:pos="4153"/>
        <w:tab w:val="right" w:pos="8306"/>
      </w:tabs>
      <w:snapToGrid w:val="0"/>
      <w:spacing w:line="240" w:lineRule="atLeast"/>
      <w:jc w:val="center"/>
    </w:pPr>
    <w:rPr>
      <w:sz w:val="18"/>
      <w:szCs w:val="18"/>
    </w:rPr>
  </w:style>
  <w:style w:type="paragraph" w:styleId="15">
    <w:name w:val="Subtitle"/>
    <w:basedOn w:val="1"/>
    <w:next w:val="1"/>
    <w:link w:val="34"/>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33"/>
    <w:qFormat/>
    <w:uiPriority w:val="10"/>
    <w:pPr>
      <w:spacing w:after="80" w:line="240" w:lineRule="auto"/>
      <w:jc w:val="center"/>
    </w:pPr>
    <w:rPr>
      <w:rFonts w:asciiTheme="majorHAnsi" w:hAnsiTheme="majorHAnsi" w:eastAsiaTheme="majorEastAsia" w:cstheme="majorBidi"/>
      <w:spacing w:val="-10"/>
      <w:kern w:val="28"/>
      <w:sz w:val="56"/>
      <w:szCs w:val="56"/>
    </w:rPr>
  </w:style>
  <w:style w:type="paragraph" w:styleId="17">
    <w:name w:val="annotation subject"/>
    <w:basedOn w:val="11"/>
    <w:next w:val="11"/>
    <w:link w:val="46"/>
    <w:semiHidden/>
    <w:unhideWhenUsed/>
    <w:qFormat/>
    <w:uiPriority w:val="99"/>
    <w:rPr>
      <w:b/>
      <w:bCs/>
    </w:rPr>
  </w:style>
  <w:style w:type="paragraph" w:styleId="18">
    <w:name w:val="Body Text First Indent"/>
    <w:basedOn w:val="12"/>
    <w:link w:val="23"/>
    <w:semiHidden/>
    <w:unhideWhenUsed/>
    <w:qFormat/>
    <w:uiPriority w:val="99"/>
    <w:pPr>
      <w:ind w:firstLine="420" w:firstLineChars="100"/>
    </w:pPr>
  </w:style>
  <w:style w:type="character" w:styleId="21">
    <w:name w:val="annotation reference"/>
    <w:basedOn w:val="20"/>
    <w:semiHidden/>
    <w:unhideWhenUsed/>
    <w:qFormat/>
    <w:uiPriority w:val="99"/>
    <w:rPr>
      <w:sz w:val="21"/>
      <w:szCs w:val="21"/>
    </w:rPr>
  </w:style>
  <w:style w:type="character" w:customStyle="1" w:styleId="22">
    <w:name w:val="正文文本 字符"/>
    <w:basedOn w:val="20"/>
    <w:link w:val="12"/>
    <w:semiHidden/>
    <w:qFormat/>
    <w:uiPriority w:val="99"/>
    <w:rPr>
      <w:rFonts w:ascii="Calibri" w:hAnsi="Calibri" w:eastAsia="仿宋_GB2312" w:cs="Times New Roman"/>
      <w:sz w:val="32"/>
      <w:szCs w:val="24"/>
    </w:rPr>
  </w:style>
  <w:style w:type="character" w:customStyle="1" w:styleId="23">
    <w:name w:val="正文文本首行缩进 字符"/>
    <w:basedOn w:val="22"/>
    <w:link w:val="18"/>
    <w:semiHidden/>
    <w:qFormat/>
    <w:uiPriority w:val="99"/>
    <w:rPr>
      <w:rFonts w:ascii="Calibri" w:hAnsi="Calibri" w:eastAsia="仿宋_GB2312" w:cs="Times New Roman"/>
      <w:sz w:val="32"/>
      <w:szCs w:val="24"/>
    </w:rPr>
  </w:style>
  <w:style w:type="character" w:customStyle="1" w:styleId="24">
    <w:name w:val="标题 2 字符"/>
    <w:basedOn w:val="20"/>
    <w:link w:val="3"/>
    <w:qFormat/>
    <w:uiPriority w:val="9"/>
    <w:rPr>
      <w:rFonts w:eastAsia="黑体" w:asciiTheme="majorHAnsi" w:hAnsiTheme="majorHAnsi" w:cstheme="majorBidi"/>
      <w:bCs/>
      <w:sz w:val="32"/>
      <w:szCs w:val="32"/>
    </w:rPr>
  </w:style>
  <w:style w:type="character" w:customStyle="1" w:styleId="25">
    <w:name w:val="标题 3 字符"/>
    <w:basedOn w:val="20"/>
    <w:link w:val="4"/>
    <w:qFormat/>
    <w:uiPriority w:val="9"/>
    <w:rPr>
      <w:rFonts w:eastAsia="仿宋_GB2312"/>
      <w:b/>
      <w:bCs/>
      <w:sz w:val="32"/>
      <w:szCs w:val="32"/>
    </w:rPr>
  </w:style>
  <w:style w:type="character" w:customStyle="1" w:styleId="26">
    <w:name w:val="标题 1 字符"/>
    <w:basedOn w:val="20"/>
    <w:link w:val="2"/>
    <w:qFormat/>
    <w:uiPriority w:val="9"/>
    <w:rPr>
      <w:rFonts w:asciiTheme="majorHAnsi" w:hAnsiTheme="majorHAnsi" w:eastAsiaTheme="majorEastAsia" w:cstheme="majorBidi"/>
      <w:color w:val="2F5597" w:themeColor="accent1" w:themeShade="BF"/>
      <w:sz w:val="48"/>
      <w:szCs w:val="48"/>
    </w:rPr>
  </w:style>
  <w:style w:type="character" w:customStyle="1" w:styleId="27">
    <w:name w:val="标题 4 字符"/>
    <w:basedOn w:val="20"/>
    <w:link w:val="5"/>
    <w:semiHidden/>
    <w:qFormat/>
    <w:uiPriority w:val="9"/>
    <w:rPr>
      <w:rFonts w:cstheme="majorBidi"/>
      <w:color w:val="2F5597" w:themeColor="accent1" w:themeShade="BF"/>
      <w:sz w:val="28"/>
      <w:szCs w:val="28"/>
    </w:rPr>
  </w:style>
  <w:style w:type="character" w:customStyle="1" w:styleId="28">
    <w:name w:val="标题 5 字符"/>
    <w:basedOn w:val="20"/>
    <w:link w:val="6"/>
    <w:semiHidden/>
    <w:qFormat/>
    <w:uiPriority w:val="9"/>
    <w:rPr>
      <w:rFonts w:cstheme="majorBidi"/>
      <w:color w:val="2F5597" w:themeColor="accent1" w:themeShade="BF"/>
      <w:sz w:val="24"/>
      <w:szCs w:val="24"/>
    </w:rPr>
  </w:style>
  <w:style w:type="character" w:customStyle="1" w:styleId="29">
    <w:name w:val="标题 6 字符"/>
    <w:basedOn w:val="20"/>
    <w:link w:val="7"/>
    <w:semiHidden/>
    <w:qFormat/>
    <w:uiPriority w:val="9"/>
    <w:rPr>
      <w:rFonts w:cstheme="majorBidi"/>
      <w:b/>
      <w:bCs/>
      <w:color w:val="2F5597" w:themeColor="accent1" w:themeShade="BF"/>
      <w:sz w:val="32"/>
      <w:szCs w:val="24"/>
    </w:rPr>
  </w:style>
  <w:style w:type="character" w:customStyle="1" w:styleId="30">
    <w:name w:val="标题 7 字符"/>
    <w:basedOn w:val="20"/>
    <w:link w:val="8"/>
    <w:semiHidden/>
    <w:qFormat/>
    <w:uiPriority w:val="9"/>
    <w:rPr>
      <w:rFonts w:cstheme="majorBidi"/>
      <w:b/>
      <w:bCs/>
      <w:color w:val="595959" w:themeColor="text1" w:themeTint="A6"/>
      <w:sz w:val="32"/>
      <w:szCs w:val="24"/>
      <w14:textFill>
        <w14:solidFill>
          <w14:schemeClr w14:val="tx1">
            <w14:lumMod w14:val="65000"/>
            <w14:lumOff w14:val="35000"/>
          </w14:schemeClr>
        </w14:solidFill>
      </w14:textFill>
    </w:rPr>
  </w:style>
  <w:style w:type="character" w:customStyle="1" w:styleId="31">
    <w:name w:val="标题 8 字符"/>
    <w:basedOn w:val="20"/>
    <w:link w:val="9"/>
    <w:semiHidden/>
    <w:qFormat/>
    <w:uiPriority w:val="9"/>
    <w:rPr>
      <w:rFonts w:cstheme="majorBidi"/>
      <w:color w:val="595959" w:themeColor="text1" w:themeTint="A6"/>
      <w:sz w:val="32"/>
      <w:szCs w:val="24"/>
      <w14:textFill>
        <w14:solidFill>
          <w14:schemeClr w14:val="tx1">
            <w14:lumMod w14:val="65000"/>
            <w14:lumOff w14:val="35000"/>
          </w14:schemeClr>
        </w14:solidFill>
      </w14:textFill>
    </w:rPr>
  </w:style>
  <w:style w:type="character" w:customStyle="1" w:styleId="32">
    <w:name w:val="标题 9 字符"/>
    <w:basedOn w:val="20"/>
    <w:link w:val="10"/>
    <w:semiHidden/>
    <w:qFormat/>
    <w:uiPriority w:val="9"/>
    <w:rPr>
      <w:rFonts w:eastAsiaTheme="majorEastAsia" w:cstheme="majorBidi"/>
      <w:color w:val="595959" w:themeColor="text1" w:themeTint="A6"/>
      <w:sz w:val="32"/>
      <w:szCs w:val="24"/>
      <w14:textFill>
        <w14:solidFill>
          <w14:schemeClr w14:val="tx1">
            <w14:lumMod w14:val="65000"/>
            <w14:lumOff w14:val="35000"/>
          </w14:schemeClr>
        </w14:solidFill>
      </w14:textFill>
    </w:rPr>
  </w:style>
  <w:style w:type="character" w:customStyle="1" w:styleId="33">
    <w:name w:val="标题 字符"/>
    <w:basedOn w:val="20"/>
    <w:link w:val="16"/>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0"/>
    <w:link w:val="35"/>
    <w:qFormat/>
    <w:uiPriority w:val="29"/>
    <w:rPr>
      <w:rFonts w:eastAsia="仿宋_GB2312"/>
      <w:i/>
      <w:iCs/>
      <w:color w:val="404040" w:themeColor="text1" w:themeTint="BF"/>
      <w:sz w:val="32"/>
      <w:szCs w:val="24"/>
      <w14:textFill>
        <w14:solidFill>
          <w14:schemeClr w14:val="tx1">
            <w14:lumMod w14:val="75000"/>
            <w14:lumOff w14:val="25000"/>
          </w14:schemeClr>
        </w14:solidFill>
      </w14:textFill>
    </w:rPr>
  </w:style>
  <w:style w:type="paragraph" w:styleId="37">
    <w:name w:val="List Paragraph"/>
    <w:basedOn w:val="1"/>
    <w:qFormat/>
    <w:uiPriority w:val="34"/>
    <w:pPr>
      <w:ind w:left="720"/>
    </w:pPr>
  </w:style>
  <w:style w:type="character" w:customStyle="1" w:styleId="38">
    <w:name w:val="明显强调1"/>
    <w:basedOn w:val="20"/>
    <w:qFormat/>
    <w:uiPriority w:val="21"/>
    <w:rPr>
      <w:i/>
      <w:iCs/>
      <w:color w:val="2F5597"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明显引用 字符"/>
    <w:basedOn w:val="20"/>
    <w:link w:val="39"/>
    <w:qFormat/>
    <w:uiPriority w:val="30"/>
    <w:rPr>
      <w:rFonts w:eastAsia="仿宋_GB2312"/>
      <w:i/>
      <w:iCs/>
      <w:color w:val="2F5597" w:themeColor="accent1" w:themeShade="BF"/>
      <w:sz w:val="32"/>
      <w:szCs w:val="24"/>
    </w:rPr>
  </w:style>
  <w:style w:type="character" w:customStyle="1" w:styleId="41">
    <w:name w:val="明显参考1"/>
    <w:basedOn w:val="20"/>
    <w:qFormat/>
    <w:uiPriority w:val="32"/>
    <w:rPr>
      <w:b/>
      <w:bCs/>
      <w:smallCaps/>
      <w:color w:val="2F5597" w:themeColor="accent1" w:themeShade="BF"/>
      <w:spacing w:val="5"/>
    </w:rPr>
  </w:style>
  <w:style w:type="character" w:customStyle="1" w:styleId="42">
    <w:name w:val="页眉 字符"/>
    <w:basedOn w:val="20"/>
    <w:link w:val="14"/>
    <w:qFormat/>
    <w:uiPriority w:val="99"/>
    <w:rPr>
      <w:rFonts w:eastAsia="仿宋_GB2312"/>
      <w:sz w:val="18"/>
      <w:szCs w:val="18"/>
    </w:rPr>
  </w:style>
  <w:style w:type="character" w:customStyle="1" w:styleId="43">
    <w:name w:val="页脚 字符"/>
    <w:basedOn w:val="20"/>
    <w:link w:val="13"/>
    <w:qFormat/>
    <w:uiPriority w:val="99"/>
    <w:rPr>
      <w:rFonts w:eastAsia="仿宋_GB2312"/>
      <w:sz w:val="18"/>
      <w:szCs w:val="18"/>
    </w:rPr>
  </w:style>
  <w:style w:type="paragraph" w:customStyle="1" w:styleId="44">
    <w:name w:val="修订1"/>
    <w:hidden/>
    <w:unhideWhenUsed/>
    <w:qFormat/>
    <w:uiPriority w:val="99"/>
    <w:rPr>
      <w:rFonts w:eastAsia="仿宋_GB2312" w:asciiTheme="minorHAnsi" w:hAnsiTheme="minorHAnsi" w:cstheme="minorBidi"/>
      <w:kern w:val="2"/>
      <w:sz w:val="32"/>
      <w:szCs w:val="24"/>
      <w:lang w:val="en-US" w:eastAsia="zh-CN" w:bidi="ar-SA"/>
    </w:rPr>
  </w:style>
  <w:style w:type="character" w:customStyle="1" w:styleId="45">
    <w:name w:val="批注文字 字符"/>
    <w:basedOn w:val="20"/>
    <w:link w:val="11"/>
    <w:semiHidden/>
    <w:qFormat/>
    <w:uiPriority w:val="99"/>
    <w:rPr>
      <w:rFonts w:eastAsia="仿宋_GB2312"/>
      <w:kern w:val="2"/>
      <w:sz w:val="32"/>
      <w:szCs w:val="24"/>
    </w:rPr>
  </w:style>
  <w:style w:type="character" w:customStyle="1" w:styleId="46">
    <w:name w:val="批注主题 字符"/>
    <w:basedOn w:val="45"/>
    <w:link w:val="17"/>
    <w:semiHidden/>
    <w:qFormat/>
    <w:uiPriority w:val="99"/>
    <w:rPr>
      <w:rFonts w:eastAsia="仿宋_GB2312"/>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1727</Words>
  <Characters>1765</Characters>
  <Lines>13</Lines>
  <Paragraphs>3</Paragraphs>
  <TotalTime>47</TotalTime>
  <ScaleCrop>false</ScaleCrop>
  <LinksUpToDate>false</LinksUpToDate>
  <CharactersWithSpaces>1767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2026-06-06T10:46:00Z</dcterms:created>
  <dc:creator>Administrator</dc:creator>
  <cp:lastModifiedBy>刘璐</cp:lastModifiedBy>
  <dcterms:modified xsi:type="dcterms:W3CDTF">2026-06-12T03:12:44Z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eyJoZGlkIjoiNTYxNzJlMjNhNTg0NmYxMWQyZGNhYjk0ZTYwNmZhMmUiLCJ1c2VySWQiOiIzODI3NzgzNDcifQ==</vt:lpwstr>
  </property>
  <property fmtid="{D5CDD505-2E9C-101B-9397-08002B2CF9AE}" pid="3" name="KSOProductBuildVer">
    <vt:lpwstr>2052-12.1.0.26895</vt:lpwstr>
  </property>
  <property fmtid="{D5CDD505-2E9C-101B-9397-08002B2CF9AE}" pid="4" name="ICV">
    <vt:lpwstr>843EBDAE2D964C77BA5AD8046817D06F_12</vt:lpwstr>
  </property>
</Properties>
</file>