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7482D">
      <w:pPr>
        <w:keepNext w:val="0"/>
        <w:keepLines w:val="0"/>
        <w:pageBreakBefore w:val="0"/>
        <w:widowControl w:val="0"/>
        <w:kinsoku/>
        <w:wordWrap/>
        <w:overflowPunct/>
        <w:topLinePunct w:val="0"/>
        <w:autoSpaceDE/>
        <w:autoSpaceDN/>
        <w:bidi w:val="0"/>
        <w:adjustRightInd/>
        <w:snapToGrid/>
        <w:spacing w:before="480" w:after="480" w:line="640" w:lineRule="exact"/>
        <w:ind w:left="0" w:firstLine="0" w:firstLineChars="0"/>
        <w:contextualSpacing w:val="0"/>
        <w:jc w:val="center"/>
        <w:textAlignment w:val="auto"/>
        <w:rPr>
          <w:rFonts w:hint="eastAsia" w:ascii="方正小标宋简体" w:hAnsi="方正小标宋简体" w:eastAsia="方正小标宋简体" w:cs="方正小标宋简体"/>
          <w:b w:val="0"/>
          <w:bCs/>
          <w:kern w:val="0"/>
          <w:sz w:val="44"/>
          <w:szCs w:val="44"/>
          <w:highlight w:val="none"/>
          <w:lang w:val="en-US" w:eastAsia="zh-CN" w:bidi="ar-SA"/>
        </w:rPr>
      </w:pPr>
      <w:bookmarkStart w:id="14" w:name="_GoBack"/>
      <w:bookmarkEnd w:id="14"/>
      <w:r>
        <w:rPr>
          <w:rFonts w:hint="eastAsia" w:ascii="方正小标宋简体" w:hAnsi="方正小标宋简体" w:eastAsia="方正小标宋简体" w:cs="方正小标宋简体"/>
          <w:b w:val="0"/>
          <w:bCs/>
          <w:kern w:val="0"/>
          <w:sz w:val="44"/>
          <w:szCs w:val="44"/>
          <w:highlight w:val="none"/>
          <w:lang w:val="en-US" w:eastAsia="zh-CN" w:bidi="ar-SA"/>
        </w:rPr>
        <w:t>济南热电集团有限公司金鸡岭厂区废旧资产一宗转让项目施工要求</w:t>
      </w:r>
    </w:p>
    <w:p w14:paraId="7ED7AAAD">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方正仿宋_GB2312" w:hAnsi="方正仿宋_GB2312" w:eastAsia="方正仿宋_GB2312" w:cs="方正仿宋_GB2312"/>
          <w:kern w:val="2"/>
          <w:sz w:val="32"/>
          <w:szCs w:val="24"/>
          <w:lang w:val="en-US" w:eastAsia="zh-CN" w:bidi="ar-SA"/>
        </w:rPr>
      </w:pPr>
      <w:r>
        <w:rPr>
          <w:rFonts w:hint="eastAsia" w:ascii="方正仿宋_GB2312" w:hAnsi="方正仿宋_GB2312" w:eastAsia="方正仿宋_GB2312" w:cs="方正仿宋_GB2312"/>
          <w:kern w:val="2"/>
          <w:sz w:val="32"/>
          <w:szCs w:val="24"/>
          <w:lang w:val="en-US" w:eastAsia="zh-CN" w:bidi="ar-SA"/>
        </w:rPr>
        <w:t>为规范济南热电集团有限公司金鸡岭厂区拆除工程施工行为，明确买受人施工标准、安全规范及环境保护要求，保障拆除工程安全、环保、高效推进，依据国家现行工程建设、生态环保、安全生产相关法律法规及标准规范，结合本厂区工程实际情况，特制定本进场施工专项约束要求，本要求作为本次拆除拍卖项目买受人进场施工必备条款，所有买受人必须无条件遵守，纳入施工合同履约条款。</w:t>
      </w:r>
    </w:p>
    <w:p w14:paraId="630E71FD">
      <w:pPr>
        <w:keepNext w:val="0"/>
        <w:keepLines w:val="0"/>
        <w:pageBreakBefore w:val="0"/>
        <w:widowControl w:val="0"/>
        <w:kinsoku/>
        <w:wordWrap/>
        <w:overflowPunct/>
        <w:topLinePunct w:val="0"/>
        <w:autoSpaceDE/>
        <w:autoSpaceDN/>
        <w:bidi w:val="0"/>
        <w:adjustRightInd/>
        <w:snapToGrid/>
        <w:spacing w:line="592" w:lineRule="exact"/>
        <w:ind w:firstLine="640" w:firstLineChars="200"/>
        <w:contextualSpacing/>
        <w:textAlignment w:val="auto"/>
        <w:rPr>
          <w:rFonts w:hint="eastAsia" w:eastAsia="仿宋_GB2312" w:asciiTheme="minorHAnsi" w:hAnsiTheme="minorHAnsi" w:cstheme="minorBidi"/>
          <w:b/>
          <w:bCs/>
          <w:kern w:val="2"/>
          <w:sz w:val="32"/>
          <w:szCs w:val="24"/>
          <w:lang w:val="en-US" w:eastAsia="zh-CN" w:bidi="ar-SA"/>
        </w:rPr>
      </w:pPr>
      <w:bookmarkStart w:id="0" w:name="heading_0"/>
      <w:r>
        <w:rPr>
          <w:rFonts w:hint="eastAsia" w:ascii="黑体" w:hAnsi="黑体" w:eastAsia="黑体" w:cs="黑体"/>
          <w:kern w:val="2"/>
          <w:sz w:val="32"/>
          <w:szCs w:val="24"/>
          <w:lang w:val="en-US" w:eastAsia="zh-CN" w:bidi="ar-SA"/>
        </w:rPr>
        <w:t>一、工程总体拆除施工要求</w:t>
      </w:r>
      <w:bookmarkEnd w:id="0"/>
    </w:p>
    <w:p w14:paraId="4ABAAEE0">
      <w:pPr>
        <w:keepNext w:val="0"/>
        <w:keepLines w:val="0"/>
        <w:pageBreakBefore w:val="0"/>
        <w:widowControl w:val="0"/>
        <w:kinsoku/>
        <w:wordWrap/>
        <w:overflowPunct/>
        <w:topLinePunct w:val="0"/>
        <w:autoSpaceDE/>
        <w:autoSpaceDN/>
        <w:bidi w:val="0"/>
        <w:adjustRightInd/>
        <w:snapToGrid/>
        <w:spacing w:line="640" w:lineRule="exact"/>
        <w:ind w:firstLine="643" w:firstLineChars="200"/>
        <w:contextualSpacing/>
        <w:textAlignment w:val="auto"/>
        <w:rPr>
          <w:rFonts w:hint="eastAsia" w:ascii="方正楷体_GB2312" w:hAnsi="方正楷体_GB2312" w:eastAsia="方正楷体_GB2312" w:cs="方正楷体_GB2312"/>
          <w:b/>
          <w:bCs/>
          <w:kern w:val="2"/>
          <w:sz w:val="32"/>
          <w:szCs w:val="24"/>
          <w:lang w:val="en-US" w:eastAsia="zh-CN" w:bidi="ar-SA"/>
        </w:rPr>
      </w:pPr>
      <w:bookmarkStart w:id="1" w:name="heading_1"/>
      <w:r>
        <w:rPr>
          <w:rFonts w:hint="eastAsia" w:ascii="方正楷体_GB2312" w:hAnsi="方正楷体_GB2312" w:eastAsia="方正楷体_GB2312" w:cs="方正楷体_GB2312"/>
          <w:b/>
          <w:bCs/>
          <w:kern w:val="2"/>
          <w:sz w:val="32"/>
          <w:szCs w:val="24"/>
          <w:lang w:val="en-US" w:eastAsia="zh-CN" w:bidi="ar-SA"/>
        </w:rPr>
        <w:t>（一）拆除施工总体顺序</w:t>
      </w:r>
      <w:bookmarkEnd w:id="1"/>
    </w:p>
    <w:p w14:paraId="500452D4">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eastAsia="仿宋_GB2312" w:asciiTheme="minorHAnsi" w:hAnsiTheme="minorHAnsi" w:cstheme="minorBidi"/>
          <w:kern w:val="2"/>
          <w:sz w:val="32"/>
          <w:szCs w:val="24"/>
          <w:lang w:val="en-US" w:eastAsia="zh-CN" w:bidi="ar-SA"/>
        </w:rPr>
      </w:pPr>
      <w:r>
        <w:rPr>
          <w:rFonts w:hint="eastAsia" w:eastAsia="仿宋_GB2312" w:asciiTheme="minorHAnsi" w:hAnsiTheme="minorHAnsi" w:cstheme="minorBidi"/>
          <w:kern w:val="2"/>
          <w:sz w:val="32"/>
          <w:szCs w:val="24"/>
          <w:lang w:val="en-US" w:eastAsia="zh-CN" w:bidi="ar-SA"/>
        </w:rPr>
        <w:t>本厂区所有建（构）筑物、设备设施拆除作业严格执行由南向北、分层分段、循序渐进的施工原则。买受人进场后，优先拆除厂区南侧附属用房、配套管线、辅助设备、零星构筑物，逐步向北推进，依次完成主厂房、配套生产设施、大型构筑物拆除，严禁逆向施工、跨区域无序施工、大面积同步无序拆除，确保施工动线规整、安全可控、环保达标。</w:t>
      </w:r>
    </w:p>
    <w:p w14:paraId="471B8247">
      <w:pPr>
        <w:keepNext w:val="0"/>
        <w:keepLines w:val="0"/>
        <w:pageBreakBefore w:val="0"/>
        <w:widowControl w:val="0"/>
        <w:kinsoku/>
        <w:wordWrap/>
        <w:overflowPunct/>
        <w:topLinePunct w:val="0"/>
        <w:autoSpaceDE/>
        <w:autoSpaceDN/>
        <w:bidi w:val="0"/>
        <w:adjustRightInd/>
        <w:snapToGrid/>
        <w:spacing w:line="640" w:lineRule="exact"/>
        <w:ind w:firstLine="643" w:firstLineChars="200"/>
        <w:contextualSpacing/>
        <w:textAlignment w:val="auto"/>
        <w:rPr>
          <w:rFonts w:hint="eastAsia" w:ascii="方正楷体_GB2312" w:hAnsi="方正楷体_GB2312" w:eastAsia="方正楷体_GB2312" w:cs="方正楷体_GB2312"/>
          <w:b/>
          <w:bCs/>
          <w:kern w:val="2"/>
          <w:sz w:val="32"/>
          <w:szCs w:val="24"/>
          <w:lang w:val="en-US" w:eastAsia="zh-CN" w:bidi="ar-SA"/>
        </w:rPr>
      </w:pPr>
      <w:bookmarkStart w:id="2" w:name="heading_2"/>
      <w:r>
        <w:rPr>
          <w:rFonts w:hint="eastAsia" w:ascii="方正楷体_GB2312" w:hAnsi="方正楷体_GB2312" w:eastAsia="方正楷体_GB2312" w:cs="方正楷体_GB2312"/>
          <w:b/>
          <w:bCs/>
          <w:kern w:val="2"/>
          <w:sz w:val="32"/>
          <w:szCs w:val="24"/>
          <w:lang w:val="en-US" w:eastAsia="zh-CN" w:bidi="ar-SA"/>
        </w:rPr>
        <w:t>（二）核心构筑物（烟囱）专项拆除要求</w:t>
      </w:r>
      <w:bookmarkEnd w:id="2"/>
    </w:p>
    <w:p w14:paraId="1A0014F1">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eastAsia="仿宋_GB2312" w:asciiTheme="minorHAnsi" w:hAnsiTheme="minorHAnsi" w:cstheme="minorBidi"/>
          <w:kern w:val="2"/>
          <w:sz w:val="32"/>
          <w:szCs w:val="24"/>
          <w:lang w:val="en-US" w:eastAsia="zh-CN" w:bidi="ar-SA"/>
        </w:rPr>
      </w:pPr>
      <w:r>
        <w:rPr>
          <w:rFonts w:hint="eastAsia" w:eastAsia="仿宋_GB2312" w:asciiTheme="minorHAnsi" w:hAnsiTheme="minorHAnsi" w:cstheme="minorBidi"/>
          <w:kern w:val="2"/>
          <w:sz w:val="32"/>
          <w:szCs w:val="24"/>
          <w:lang w:val="en-US" w:eastAsia="zh-CN" w:bidi="ar-SA"/>
        </w:rPr>
        <w:t>厂区两座</w:t>
      </w:r>
      <w:r>
        <w:rPr>
          <w:rFonts w:hint="default" w:ascii="Times New Roman" w:hAnsi="Times New Roman" w:eastAsia="仿宋_GB2312" w:cs="Times New Roman"/>
          <w:kern w:val="2"/>
          <w:sz w:val="32"/>
          <w:szCs w:val="24"/>
          <w:lang w:val="en-US" w:eastAsia="zh-CN" w:bidi="ar-SA"/>
        </w:rPr>
        <w:t>120</w:t>
      </w:r>
      <w:r>
        <w:rPr>
          <w:rFonts w:hint="eastAsia" w:eastAsia="仿宋_GB2312" w:asciiTheme="minorHAnsi" w:hAnsiTheme="minorHAnsi" w:cstheme="minorBidi"/>
          <w:kern w:val="2"/>
          <w:sz w:val="32"/>
          <w:szCs w:val="24"/>
          <w:lang w:val="en-US" w:eastAsia="zh-CN" w:bidi="ar-SA"/>
        </w:rPr>
        <w:t>米高烟囱为本工程核心拆除构筑物，为本次施工硬性约束条款，买受人必须严格执行：</w:t>
      </w:r>
    </w:p>
    <w:p w14:paraId="165AA444">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1</w:t>
      </w:r>
      <w:r>
        <w:rPr>
          <w:rFonts w:hint="eastAsia" w:ascii="仿宋_GB2312" w:hAnsi="仿宋_GB2312" w:eastAsia="仿宋_GB2312" w:cs="仿宋_GB2312"/>
          <w:kern w:val="2"/>
          <w:sz w:val="32"/>
          <w:szCs w:val="24"/>
          <w:lang w:val="en-US" w:eastAsia="zh-CN" w:bidi="ar-SA"/>
        </w:rPr>
        <w:t>.严禁爆破拆除：两座</w:t>
      </w:r>
      <w:r>
        <w:rPr>
          <w:rFonts w:hint="eastAsia" w:ascii="Times New Roman" w:hAnsi="Times New Roman" w:eastAsia="仿宋_GB2312" w:cs="Times New Roman"/>
          <w:kern w:val="2"/>
          <w:sz w:val="32"/>
          <w:szCs w:val="24"/>
          <w:lang w:val="en-US" w:eastAsia="zh-CN" w:bidi="ar-SA"/>
        </w:rPr>
        <w:t>120</w:t>
      </w:r>
      <w:r>
        <w:rPr>
          <w:rFonts w:hint="eastAsia" w:ascii="仿宋_GB2312" w:hAnsi="仿宋_GB2312" w:eastAsia="仿宋_GB2312" w:cs="仿宋_GB2312"/>
          <w:kern w:val="2"/>
          <w:sz w:val="32"/>
          <w:szCs w:val="24"/>
          <w:lang w:val="en-US" w:eastAsia="zh-CN" w:bidi="ar-SA"/>
        </w:rPr>
        <w:t>米烟囱全程禁止采用任何形式爆破、静态破碎、定向倾倒等破坏性拆除工艺，仅允许采用人工分层拆解+机械辅助配合的人工拆除工艺，自上而下逐层、逐段安全拆解。</w:t>
      </w:r>
    </w:p>
    <w:p w14:paraId="1107CE90">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w:t>
      </w:r>
      <w:r>
        <w:rPr>
          <w:rFonts w:hint="eastAsia" w:ascii="仿宋_GB2312" w:hAnsi="仿宋_GB2312" w:eastAsia="仿宋_GB2312" w:cs="仿宋_GB2312"/>
          <w:kern w:val="2"/>
          <w:sz w:val="32"/>
          <w:szCs w:val="24"/>
          <w:lang w:val="en-US" w:eastAsia="zh-CN" w:bidi="ar-SA"/>
        </w:rPr>
        <w:t>.双烟囱同步动工：为压缩整体工期、提升施工效率，两座</w:t>
      </w:r>
      <w:r>
        <w:rPr>
          <w:rFonts w:hint="eastAsia" w:ascii="Times New Roman" w:hAnsi="Times New Roman" w:eastAsia="仿宋_GB2312" w:cs="Times New Roman"/>
          <w:kern w:val="2"/>
          <w:sz w:val="32"/>
          <w:szCs w:val="24"/>
          <w:lang w:val="en-US" w:eastAsia="zh-CN" w:bidi="ar-SA"/>
        </w:rPr>
        <w:t>120</w:t>
      </w:r>
      <w:r>
        <w:rPr>
          <w:rFonts w:hint="eastAsia" w:ascii="仿宋_GB2312" w:hAnsi="仿宋_GB2312" w:eastAsia="仿宋_GB2312" w:cs="仿宋_GB2312"/>
          <w:kern w:val="2"/>
          <w:sz w:val="32"/>
          <w:szCs w:val="24"/>
          <w:lang w:val="en-US" w:eastAsia="zh-CN" w:bidi="ar-SA"/>
        </w:rPr>
        <w:t>米烟囱拆除工程必须同步进场、同步施工、同步推进，不得分批动工、暂缓施工。</w:t>
      </w:r>
    </w:p>
    <w:p w14:paraId="63DB1634">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w:t>
      </w:r>
      <w:r>
        <w:rPr>
          <w:rFonts w:hint="eastAsia" w:ascii="仿宋_GB2312" w:hAnsi="仿宋_GB2312" w:eastAsia="仿宋_GB2312" w:cs="仿宋_GB2312"/>
          <w:kern w:val="2"/>
          <w:sz w:val="32"/>
          <w:szCs w:val="24"/>
          <w:lang w:val="en-US" w:eastAsia="zh-CN" w:bidi="ar-SA"/>
        </w:rPr>
        <w:t>.拆除工艺要求：烟囱拆除严格遵循自上而下分层拆解原则，全程做好结构稳定性监测，防范坍塌、坠物风险。</w:t>
      </w:r>
    </w:p>
    <w:p w14:paraId="01F05205">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4</w:t>
      </w:r>
      <w:r>
        <w:rPr>
          <w:rFonts w:hint="eastAsia" w:ascii="仿宋_GB2312" w:hAnsi="仿宋_GB2312" w:eastAsia="仿宋_GB2312" w:cs="仿宋_GB2312"/>
          <w:kern w:val="2"/>
          <w:sz w:val="32"/>
          <w:szCs w:val="24"/>
          <w:lang w:val="en-US" w:eastAsia="zh-CN" w:bidi="ar-SA"/>
        </w:rPr>
        <w:t>.拆除高度：至地面处</w:t>
      </w:r>
      <w:r>
        <w:rPr>
          <w:rFonts w:hint="eastAsia" w:ascii="Times New Roman" w:hAnsi="Times New Roman" w:eastAsia="仿宋_GB2312" w:cs="Times New Roman"/>
          <w:kern w:val="2"/>
          <w:sz w:val="32"/>
          <w:szCs w:val="24"/>
          <w:lang w:val="en-US" w:eastAsia="zh-CN" w:bidi="ar-SA"/>
        </w:rPr>
        <w:t>10</w:t>
      </w:r>
      <w:r>
        <w:rPr>
          <w:rFonts w:hint="eastAsia" w:ascii="仿宋_GB2312" w:hAnsi="仿宋_GB2312" w:eastAsia="仿宋_GB2312" w:cs="仿宋_GB2312"/>
          <w:kern w:val="2"/>
          <w:sz w:val="32"/>
          <w:szCs w:val="24"/>
          <w:lang w:val="en-US" w:eastAsia="zh-CN" w:bidi="ar-SA"/>
        </w:rPr>
        <w:t>米高度后可采用地面设备直至完全拆除。</w:t>
      </w:r>
    </w:p>
    <w:p w14:paraId="0D196CA8">
      <w:pPr>
        <w:keepNext w:val="0"/>
        <w:keepLines w:val="0"/>
        <w:pageBreakBefore w:val="0"/>
        <w:widowControl w:val="0"/>
        <w:kinsoku/>
        <w:wordWrap/>
        <w:overflowPunct/>
        <w:topLinePunct w:val="0"/>
        <w:autoSpaceDE/>
        <w:autoSpaceDN/>
        <w:bidi w:val="0"/>
        <w:adjustRightInd/>
        <w:snapToGrid/>
        <w:spacing w:line="640" w:lineRule="exact"/>
        <w:ind w:firstLine="643" w:firstLineChars="200"/>
        <w:contextualSpacing/>
        <w:textAlignment w:val="auto"/>
        <w:rPr>
          <w:rFonts w:hint="eastAsia" w:ascii="方正楷体_GB2312" w:hAnsi="方正楷体_GB2312" w:eastAsia="方正楷体_GB2312" w:cs="方正楷体_GB2312"/>
          <w:b/>
          <w:bCs/>
          <w:kern w:val="2"/>
          <w:sz w:val="32"/>
          <w:szCs w:val="24"/>
          <w:lang w:val="en-US" w:eastAsia="zh-CN" w:bidi="ar-SA"/>
        </w:rPr>
      </w:pPr>
      <w:r>
        <w:rPr>
          <w:rFonts w:hint="eastAsia" w:ascii="方正楷体_GB2312" w:hAnsi="方正楷体_GB2312" w:eastAsia="方正楷体_GB2312" w:cs="方正楷体_GB2312"/>
          <w:b/>
          <w:bCs/>
          <w:kern w:val="2"/>
          <w:sz w:val="32"/>
          <w:szCs w:val="24"/>
          <w:lang w:val="en-US" w:eastAsia="zh-CN" w:bidi="ar-SA"/>
        </w:rPr>
        <w:t>（三）工期及验收标准</w:t>
      </w:r>
    </w:p>
    <w:p w14:paraId="134BA8FF">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2"/>
          <w:sz w:val="32"/>
          <w:szCs w:val="24"/>
          <w:highlight w:val="none"/>
          <w:lang w:val="en-US" w:eastAsia="zh-CN" w:bidi="ar-SA"/>
        </w:rPr>
      </w:pPr>
      <w:r>
        <w:rPr>
          <w:rFonts w:hint="default" w:ascii="Times New Roman" w:hAnsi="Times New Roman" w:eastAsia="仿宋_GB2312" w:cs="Times New Roman"/>
          <w:kern w:val="2"/>
          <w:sz w:val="32"/>
          <w:szCs w:val="24"/>
          <w:highlight w:val="none"/>
          <w:lang w:val="en-US" w:eastAsia="zh-CN" w:bidi="ar-SA"/>
        </w:rPr>
        <w:t>1</w:t>
      </w:r>
      <w:r>
        <w:rPr>
          <w:rFonts w:hint="eastAsia" w:ascii="仿宋_GB2312" w:hAnsi="仿宋_GB2312" w:eastAsia="仿宋_GB2312" w:cs="仿宋_GB2312"/>
          <w:kern w:val="2"/>
          <w:sz w:val="32"/>
          <w:szCs w:val="24"/>
          <w:highlight w:val="none"/>
          <w:lang w:val="en-US" w:eastAsia="zh-CN" w:bidi="ar-SA"/>
        </w:rPr>
        <w:t>.工期要求：在《资产交易合同》签署后，</w:t>
      </w:r>
      <w:r>
        <w:rPr>
          <w:rFonts w:hint="eastAsia" w:ascii="Times New Roman" w:hAnsi="Times New Roman" w:eastAsia="仿宋_GB2312" w:cs="Times New Roman"/>
          <w:kern w:val="2"/>
          <w:sz w:val="32"/>
          <w:szCs w:val="24"/>
          <w:highlight w:val="none"/>
          <w:lang w:val="en-US" w:eastAsia="zh-CN" w:bidi="ar-SA"/>
        </w:rPr>
        <w:t>105</w:t>
      </w:r>
      <w:r>
        <w:rPr>
          <w:rFonts w:hint="eastAsia" w:ascii="仿宋_GB2312" w:hAnsi="仿宋_GB2312" w:eastAsia="仿宋_GB2312" w:cs="仿宋_GB2312"/>
          <w:kern w:val="2"/>
          <w:sz w:val="32"/>
          <w:szCs w:val="24"/>
          <w:highlight w:val="none"/>
          <w:lang w:val="en-US" w:eastAsia="zh-CN" w:bidi="ar-SA"/>
        </w:rPr>
        <w:t>个日历日内（遇不可抗力因素除外）按转让方要求完成拆除、运输及现场清理工作，上述工作达到转让方的拆除标准和要求，并经转让方验收合格。</w:t>
      </w:r>
    </w:p>
    <w:p w14:paraId="3EC4ADA3">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default" w:ascii="仿宋_GB2312" w:hAnsi="仿宋_GB2312" w:eastAsia="仿宋_GB2312" w:cs="仿宋_GB2312"/>
          <w:kern w:val="2"/>
          <w:sz w:val="32"/>
          <w:szCs w:val="24"/>
          <w:highlight w:val="none"/>
          <w:lang w:val="en-US" w:eastAsia="zh-CN" w:bidi="ar-SA"/>
        </w:rPr>
      </w:pPr>
      <w:r>
        <w:rPr>
          <w:rFonts w:hint="eastAsia" w:ascii="Times New Roman" w:hAnsi="Times New Roman" w:eastAsia="仿宋_GB2312" w:cs="Times New Roman"/>
          <w:kern w:val="2"/>
          <w:sz w:val="32"/>
          <w:szCs w:val="24"/>
          <w:highlight w:val="none"/>
          <w:lang w:val="en-US" w:eastAsia="zh-CN" w:bidi="ar-SA"/>
        </w:rPr>
        <w:t>2</w:t>
      </w:r>
      <w:r>
        <w:rPr>
          <w:rFonts w:hint="eastAsia" w:ascii="仿宋_GB2312" w:hAnsi="仿宋_GB2312" w:eastAsia="仿宋_GB2312" w:cs="仿宋_GB2312"/>
          <w:kern w:val="2"/>
          <w:sz w:val="32"/>
          <w:szCs w:val="24"/>
          <w:highlight w:val="none"/>
          <w:lang w:val="en-US" w:eastAsia="zh-CN" w:bidi="ar-SA"/>
        </w:rPr>
        <w:t>.验收要求：施工现场产生的各类废弃物、建筑垃圾，均由买受人负责清运处置，相关费用由买受人自行承担。买受人完成标的资产拆除工作后，须将场地平整至正负零标高，并完成区域内苗木迁移作业。现场需清理干净，做到无油污、无垃圾及各类杂物。厂区全域须铺设防尘网，场地四邻边界红线处设置围挡；原有厂区围墙可继续利用，院墙缺失、不达标的部分，买受人须参照《标的物范围示意图》及转让方要求进行补齐完善。工程验收时，场地须完全符合济南市及市中区自然资源部门现行土地净地征收全部标准。</w:t>
      </w:r>
    </w:p>
    <w:p w14:paraId="3C595776">
      <w:pPr>
        <w:keepNext w:val="0"/>
        <w:keepLines w:val="0"/>
        <w:pageBreakBefore w:val="0"/>
        <w:widowControl w:val="0"/>
        <w:kinsoku/>
        <w:wordWrap/>
        <w:overflowPunct/>
        <w:topLinePunct w:val="0"/>
        <w:autoSpaceDE/>
        <w:autoSpaceDN/>
        <w:bidi w:val="0"/>
        <w:adjustRightInd/>
        <w:snapToGrid/>
        <w:spacing w:line="640" w:lineRule="exact"/>
        <w:ind w:firstLine="640" w:firstLineChars="200"/>
        <w:contextualSpacing/>
        <w:textAlignment w:val="auto"/>
        <w:rPr>
          <w:rFonts w:hint="eastAsia" w:ascii="黑体" w:hAnsi="黑体" w:eastAsia="黑体" w:cs="黑体"/>
          <w:kern w:val="2"/>
          <w:sz w:val="32"/>
          <w:szCs w:val="24"/>
          <w:lang w:val="en-US" w:eastAsia="zh-CN" w:bidi="ar-SA"/>
        </w:rPr>
      </w:pPr>
      <w:bookmarkStart w:id="3" w:name="heading_3"/>
      <w:r>
        <w:rPr>
          <w:rFonts w:hint="eastAsia" w:ascii="黑体" w:hAnsi="黑体" w:eastAsia="黑体" w:cs="黑体"/>
          <w:kern w:val="2"/>
          <w:sz w:val="32"/>
          <w:szCs w:val="24"/>
          <w:lang w:val="en-US" w:eastAsia="zh-CN" w:bidi="ar-SA"/>
        </w:rPr>
        <w:t>二、施工环保硬性标准及法定依据</w:t>
      </w:r>
      <w:bookmarkEnd w:id="3"/>
    </w:p>
    <w:p w14:paraId="3861AA86">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本工程拆除全过程严格落实国家生态环境保护要求，噪声、震动、粉尘、废气、固废、污水等污染物排放均需严格执行现行国家标准，所有指标实时管控、定期检测，超标立即停工整改，各项标准及依据明细如下：</w:t>
      </w:r>
    </w:p>
    <w:p w14:paraId="3CC5418A">
      <w:pPr>
        <w:keepNext w:val="0"/>
        <w:keepLines w:val="0"/>
        <w:pageBreakBefore w:val="0"/>
        <w:widowControl w:val="0"/>
        <w:kinsoku/>
        <w:wordWrap/>
        <w:overflowPunct/>
        <w:topLinePunct w:val="0"/>
        <w:autoSpaceDE/>
        <w:autoSpaceDN/>
        <w:bidi w:val="0"/>
        <w:adjustRightInd/>
        <w:snapToGrid/>
        <w:spacing w:line="640" w:lineRule="exact"/>
        <w:ind w:firstLine="643" w:firstLineChars="200"/>
        <w:contextualSpacing/>
        <w:textAlignment w:val="auto"/>
        <w:rPr>
          <w:rFonts w:hint="eastAsia" w:ascii="方正楷体_GB2312" w:hAnsi="方正楷体_GB2312" w:eastAsia="方正楷体_GB2312" w:cs="方正楷体_GB2312"/>
          <w:b/>
          <w:bCs/>
          <w:kern w:val="2"/>
          <w:sz w:val="32"/>
          <w:szCs w:val="24"/>
          <w:lang w:val="en-US" w:eastAsia="zh-CN" w:bidi="ar-SA"/>
        </w:rPr>
      </w:pPr>
      <w:bookmarkStart w:id="4" w:name="heading_4"/>
      <w:r>
        <w:rPr>
          <w:rFonts w:hint="eastAsia" w:ascii="方正楷体_GB2312" w:hAnsi="方正楷体_GB2312" w:eastAsia="方正楷体_GB2312" w:cs="方正楷体_GB2312"/>
          <w:b/>
          <w:bCs/>
          <w:kern w:val="2"/>
          <w:sz w:val="32"/>
          <w:szCs w:val="24"/>
          <w:lang w:val="en-US" w:eastAsia="zh-CN" w:bidi="ar-SA"/>
        </w:rPr>
        <w:t>（一）施工噪声控制标准及依据</w:t>
      </w:r>
      <w:bookmarkEnd w:id="4"/>
    </w:p>
    <w:p w14:paraId="5EEA9A02">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1</w:t>
      </w:r>
      <w:r>
        <w:rPr>
          <w:rFonts w:hint="eastAsia" w:ascii="Times New Roman" w:hAnsi="Times New Roman" w:eastAsia="仿宋_GB2312" w:cs="Times New Roman"/>
          <w:kern w:val="2"/>
          <w:sz w:val="32"/>
          <w:szCs w:val="24"/>
          <w:lang w:val="en-US" w:eastAsia="zh-CN" w:bidi="ar-SA"/>
        </w:rPr>
        <w:t>.执行标准依据：《建筑施工场界环境噪声排放标准》（GB 12523-</w:t>
      </w:r>
      <w:r>
        <w:rPr>
          <w:rFonts w:hint="default" w:ascii="Times New Roman" w:hAnsi="Times New Roman" w:eastAsia="仿宋_GB2312" w:cs="Times New Roman"/>
          <w:kern w:val="2"/>
          <w:sz w:val="32"/>
          <w:szCs w:val="24"/>
          <w:lang w:val="en-US" w:eastAsia="zh-CN" w:bidi="ar-SA"/>
        </w:rPr>
        <w:t>2025</w:t>
      </w:r>
      <w:r>
        <w:rPr>
          <w:rFonts w:hint="eastAsia" w:ascii="Times New Roman" w:hAnsi="Times New Roman" w:eastAsia="仿宋_GB2312" w:cs="Times New Roman"/>
          <w:kern w:val="2"/>
          <w:sz w:val="32"/>
          <w:szCs w:val="24"/>
          <w:lang w:val="en-US" w:eastAsia="zh-CN" w:bidi="ar-SA"/>
        </w:rPr>
        <w:t>）、《中</w:t>
      </w:r>
      <w:r>
        <w:rPr>
          <w:rFonts w:hint="eastAsia" w:ascii="仿宋_GB2312" w:hAnsi="仿宋_GB2312" w:eastAsia="仿宋_GB2312" w:cs="仿宋_GB2312"/>
          <w:kern w:val="2"/>
          <w:sz w:val="32"/>
          <w:szCs w:val="24"/>
          <w:lang w:val="en-US" w:eastAsia="zh-CN" w:bidi="ar-SA"/>
        </w:rPr>
        <w:t>华人民共和国噪声污染防治法》</w:t>
      </w:r>
    </w:p>
    <w:p w14:paraId="37C3E7B8">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2.具体管控指标：</w:t>
      </w:r>
    </w:p>
    <w:p w14:paraId="6D79D5D4">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昼间（6:00-22:00）：施工场界噪声排放限值≤70dB(A)；</w:t>
      </w:r>
    </w:p>
    <w:p w14:paraId="65807478">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夜间（22:00-次日6:00）：施工场界噪声排放限值≤55dB(A)；</w:t>
      </w:r>
    </w:p>
    <w:p w14:paraId="33440A88">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3.严禁夜间进行高噪声拆除作业（破碎、敲击、机械切割等），因工艺特殊确需夜间施工的，必须依法办理夜间施工审批手续，提前公示并采取专项降噪措施。</w:t>
      </w:r>
    </w:p>
    <w:p w14:paraId="22892797">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管控措施：优先选用低噪声拆除设备，高噪声设备设置隔音围挡、减振基座；烟囱人工拆除采用静音拆解工艺，杜绝高空敲击、暴力破碎；施工现场设置噪声实时监测设备，每日记录监测数据，超标立即停工整改。</w:t>
      </w:r>
    </w:p>
    <w:p w14:paraId="70BF931E">
      <w:pPr>
        <w:keepNext w:val="0"/>
        <w:keepLines w:val="0"/>
        <w:pageBreakBefore w:val="0"/>
        <w:widowControl w:val="0"/>
        <w:kinsoku/>
        <w:wordWrap/>
        <w:overflowPunct/>
        <w:topLinePunct w:val="0"/>
        <w:autoSpaceDE/>
        <w:autoSpaceDN/>
        <w:bidi w:val="0"/>
        <w:adjustRightInd/>
        <w:snapToGrid/>
        <w:spacing w:line="640" w:lineRule="exact"/>
        <w:ind w:firstLine="643" w:firstLineChars="200"/>
        <w:contextualSpacing/>
        <w:textAlignment w:val="auto"/>
        <w:rPr>
          <w:rFonts w:hint="eastAsia" w:ascii="方正楷体_GB2312" w:hAnsi="方正楷体_GB2312" w:eastAsia="方正楷体_GB2312" w:cs="方正楷体_GB2312"/>
          <w:b/>
          <w:bCs/>
          <w:kern w:val="2"/>
          <w:sz w:val="32"/>
          <w:szCs w:val="24"/>
          <w:lang w:val="en-US" w:eastAsia="zh-CN" w:bidi="ar-SA"/>
        </w:rPr>
      </w:pPr>
      <w:bookmarkStart w:id="5" w:name="heading_5"/>
      <w:r>
        <w:rPr>
          <w:rFonts w:hint="eastAsia" w:ascii="方正楷体_GB2312" w:hAnsi="方正楷体_GB2312" w:eastAsia="方正楷体_GB2312" w:cs="方正楷体_GB2312"/>
          <w:b/>
          <w:bCs/>
          <w:kern w:val="2"/>
          <w:sz w:val="32"/>
          <w:szCs w:val="24"/>
          <w:lang w:val="en-US" w:eastAsia="zh-CN" w:bidi="ar-SA"/>
        </w:rPr>
        <w:t>（二）施工震动控制标准及依据</w:t>
      </w:r>
      <w:bookmarkEnd w:id="5"/>
    </w:p>
    <w:p w14:paraId="3EABFA81">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1.执行标准依据：《建筑工程施工场界振动限值及测量方法》（GB 50868-2013）、《建筑物绿色拆除技术标准》（SJG 190-2025）</w:t>
      </w:r>
    </w:p>
    <w:p w14:paraId="3924C7D9">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2.具体管控指标：</w:t>
      </w:r>
    </w:p>
    <w:p w14:paraId="391FED0E">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施工产生的地面振动速度峰值≤0.3cm/s，不得对厂区遗留构筑物、周边建（构）筑物、市政设施及居民建筑造成振动损伤；</w:t>
      </w:r>
    </w:p>
    <w:p w14:paraId="779F113F">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烟囱人工拆除全程杜绝剧烈震动作业，禁止大型机械近距离冲击、碾压构筑物主体。</w:t>
      </w:r>
    </w:p>
    <w:p w14:paraId="1FF46242">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3.管控措施：拆除作业采用分层轻拆、静态拆解工艺，避免集中冲击作业；大型机械设备平稳操作，严禁野蛮施工；对</w:t>
      </w:r>
      <w:r>
        <w:rPr>
          <w:rFonts w:hint="default" w:ascii="Times New Roman" w:hAnsi="Times New Roman" w:eastAsia="仿宋_GB2312" w:cs="Times New Roman"/>
          <w:kern w:val="2"/>
          <w:sz w:val="32"/>
          <w:szCs w:val="24"/>
          <w:lang w:val="en-US" w:eastAsia="zh-CN" w:bidi="ar-SA"/>
        </w:rPr>
        <w:t>厂界</w:t>
      </w:r>
      <w:r>
        <w:rPr>
          <w:rFonts w:hint="eastAsia" w:ascii="Times New Roman" w:hAnsi="Times New Roman" w:eastAsia="仿宋_GB2312" w:cs="Times New Roman"/>
          <w:kern w:val="2"/>
          <w:sz w:val="32"/>
          <w:szCs w:val="24"/>
          <w:lang w:val="en-US" w:eastAsia="zh-CN" w:bidi="ar-SA"/>
        </w:rPr>
        <w:t>设置振动监测点，实时监控振动数据。</w:t>
      </w:r>
    </w:p>
    <w:p w14:paraId="2E1A3F6E">
      <w:pPr>
        <w:keepNext w:val="0"/>
        <w:keepLines w:val="0"/>
        <w:pageBreakBefore w:val="0"/>
        <w:widowControl w:val="0"/>
        <w:kinsoku/>
        <w:wordWrap/>
        <w:overflowPunct/>
        <w:topLinePunct w:val="0"/>
        <w:autoSpaceDE/>
        <w:autoSpaceDN/>
        <w:bidi w:val="0"/>
        <w:adjustRightInd/>
        <w:snapToGrid/>
        <w:spacing w:line="640" w:lineRule="exact"/>
        <w:ind w:firstLine="643" w:firstLineChars="200"/>
        <w:contextualSpacing/>
        <w:textAlignment w:val="auto"/>
        <w:rPr>
          <w:rFonts w:hint="eastAsia" w:ascii="方正楷体_GB2312" w:hAnsi="方正楷体_GB2312" w:eastAsia="方正楷体_GB2312" w:cs="方正楷体_GB2312"/>
          <w:b/>
          <w:bCs/>
          <w:kern w:val="2"/>
          <w:sz w:val="32"/>
          <w:szCs w:val="24"/>
          <w:lang w:val="en-US" w:eastAsia="zh-CN" w:bidi="ar-SA"/>
        </w:rPr>
      </w:pPr>
      <w:bookmarkStart w:id="6" w:name="heading_6"/>
      <w:r>
        <w:rPr>
          <w:rFonts w:hint="eastAsia" w:ascii="方正楷体_GB2312" w:hAnsi="方正楷体_GB2312" w:eastAsia="方正楷体_GB2312" w:cs="方正楷体_GB2312"/>
          <w:b/>
          <w:bCs/>
          <w:kern w:val="2"/>
          <w:sz w:val="32"/>
          <w:szCs w:val="24"/>
          <w:lang w:val="en-US" w:eastAsia="zh-CN" w:bidi="ar-SA"/>
        </w:rPr>
        <w:t>（三）施工粉尘（扬尘）控制标准及依据</w:t>
      </w:r>
      <w:bookmarkEnd w:id="6"/>
    </w:p>
    <w:p w14:paraId="07A95E0E">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1.执行标准依据：《大气污染物综合排放标准》（GB 16297-1996）、《中华人民共和国大气污染防治法》、山东省建筑施工扬尘污染防治相关管理规定。</w:t>
      </w:r>
    </w:p>
    <w:p w14:paraId="45AAFCF8">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2.具体管控指标：</w:t>
      </w:r>
    </w:p>
    <w:p w14:paraId="7C8173C5">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 xml:space="preserve"> 施工现场颗粒物无组织排放监控点浓度限值：总悬浮颗粒物（TSP）≤1.0mg/m³；</w:t>
      </w:r>
    </w:p>
    <w:p w14:paraId="082CBF31">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 xml:space="preserve"> 施工区域实现“百分百”管控：施工围挡100%封闭、裸土及废料100%覆盖、拆除作业100%湿法施工、出入车辆100%冲洗、扬尘监测100%在线联动。</w:t>
      </w:r>
    </w:p>
    <w:p w14:paraId="54463C83">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管控措施：烟囱高空拆除同步配备高空喷淋降尘设备，逐层拆解、逐层降尘；厂区拆除全域布设喷淋、雾炮设备，全程湿法作业；建筑垃圾即时覆盖、即时清运，禁止露天堆放、风力起尘；出入口设置洗车平台，杜绝带泥上路。</w:t>
      </w:r>
    </w:p>
    <w:p w14:paraId="37C2DC30">
      <w:pPr>
        <w:keepNext w:val="0"/>
        <w:keepLines w:val="0"/>
        <w:pageBreakBefore w:val="0"/>
        <w:widowControl w:val="0"/>
        <w:kinsoku/>
        <w:wordWrap/>
        <w:overflowPunct/>
        <w:topLinePunct w:val="0"/>
        <w:autoSpaceDE/>
        <w:autoSpaceDN/>
        <w:bidi w:val="0"/>
        <w:adjustRightInd/>
        <w:snapToGrid/>
        <w:spacing w:line="640" w:lineRule="exact"/>
        <w:ind w:firstLine="640" w:firstLineChars="200"/>
        <w:contextualSpacing/>
        <w:textAlignment w:val="auto"/>
        <w:rPr>
          <w:rFonts w:hint="eastAsia" w:ascii="黑体" w:hAnsi="黑体" w:eastAsia="黑体" w:cs="黑体"/>
          <w:kern w:val="2"/>
          <w:sz w:val="32"/>
          <w:szCs w:val="24"/>
          <w:lang w:val="en-US" w:eastAsia="zh-CN" w:bidi="ar-SA"/>
        </w:rPr>
      </w:pPr>
      <w:bookmarkStart w:id="7" w:name="heading_7"/>
      <w:r>
        <w:rPr>
          <w:rFonts w:hint="eastAsia" w:ascii="黑体" w:hAnsi="黑体" w:eastAsia="黑体" w:cs="黑体"/>
          <w:kern w:val="2"/>
          <w:sz w:val="32"/>
          <w:szCs w:val="24"/>
          <w:lang w:val="en-US" w:eastAsia="zh-CN" w:bidi="ar-SA"/>
        </w:rPr>
        <w:t>三、其他专项环境保护管控要求</w:t>
      </w:r>
      <w:bookmarkEnd w:id="7"/>
    </w:p>
    <w:p w14:paraId="47680244">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除上述噪声、振动、粉尘核心指标外，施工单位需全面落实全过程环保管控，严格执行以下附加环保要求，违者视为违约，招标人有权终止施工、追究责任：</w:t>
      </w:r>
    </w:p>
    <w:p w14:paraId="5D9B1FF1">
      <w:pPr>
        <w:keepNext w:val="0"/>
        <w:keepLines w:val="0"/>
        <w:pageBreakBefore w:val="0"/>
        <w:widowControl w:val="0"/>
        <w:kinsoku/>
        <w:wordWrap/>
        <w:overflowPunct/>
        <w:topLinePunct w:val="0"/>
        <w:autoSpaceDE/>
        <w:autoSpaceDN/>
        <w:bidi w:val="0"/>
        <w:adjustRightInd/>
        <w:snapToGrid/>
        <w:spacing w:line="640" w:lineRule="exact"/>
        <w:ind w:firstLine="643" w:firstLineChars="200"/>
        <w:contextualSpacing/>
        <w:textAlignment w:val="auto"/>
        <w:rPr>
          <w:rFonts w:hint="eastAsia" w:ascii="方正楷体_GB2312" w:hAnsi="方正楷体_GB2312" w:eastAsia="方正楷体_GB2312" w:cs="方正楷体_GB2312"/>
          <w:b/>
          <w:bCs/>
          <w:kern w:val="2"/>
          <w:sz w:val="32"/>
          <w:szCs w:val="24"/>
          <w:lang w:val="en-US" w:eastAsia="zh-CN" w:bidi="ar-SA"/>
        </w:rPr>
      </w:pPr>
      <w:bookmarkStart w:id="8" w:name="heading_8"/>
      <w:r>
        <w:rPr>
          <w:rFonts w:hint="eastAsia" w:ascii="方正楷体_GB2312" w:hAnsi="方正楷体_GB2312" w:eastAsia="方正楷体_GB2312" w:cs="方正楷体_GB2312"/>
          <w:b/>
          <w:bCs/>
          <w:kern w:val="2"/>
          <w:sz w:val="32"/>
          <w:szCs w:val="24"/>
          <w:lang w:val="en-US" w:eastAsia="zh-CN" w:bidi="ar-SA"/>
        </w:rPr>
        <w:t>（一）废弃物处置环保要求</w:t>
      </w:r>
      <w:bookmarkEnd w:id="8"/>
    </w:p>
    <w:p w14:paraId="3CC259B2">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1.拆除产生的建筑垃圾、废旧钢材、混凝土废渣、设备废料等分类堆放、分区存放，严禁混合堆放、随意丢弃、就地填埋；</w:t>
      </w:r>
    </w:p>
    <w:p w14:paraId="7B935BB1">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2.可回收废旧物资统一归集、合规处置，不可回收建筑垃圾委托具备资质的单位清运至合规渣土消纳场，留存清运台账及凭证；</w:t>
      </w:r>
    </w:p>
    <w:p w14:paraId="36623FE3">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3.严禁施工现场焚烧垃圾、废旧板材、塑料、油污杂物等，杜绝废气二次污染。</w:t>
      </w:r>
    </w:p>
    <w:p w14:paraId="5393B7EF">
      <w:pPr>
        <w:keepNext w:val="0"/>
        <w:keepLines w:val="0"/>
        <w:pageBreakBefore w:val="0"/>
        <w:widowControl w:val="0"/>
        <w:kinsoku/>
        <w:wordWrap/>
        <w:overflowPunct/>
        <w:topLinePunct w:val="0"/>
        <w:autoSpaceDE/>
        <w:autoSpaceDN/>
        <w:bidi w:val="0"/>
        <w:adjustRightInd/>
        <w:snapToGrid/>
        <w:spacing w:line="640" w:lineRule="exact"/>
        <w:ind w:firstLine="643" w:firstLineChars="200"/>
        <w:contextualSpacing/>
        <w:textAlignment w:val="auto"/>
        <w:rPr>
          <w:rFonts w:hint="eastAsia" w:ascii="方正楷体_GB2312" w:hAnsi="方正楷体_GB2312" w:eastAsia="方正楷体_GB2312" w:cs="方正楷体_GB2312"/>
          <w:b/>
          <w:bCs/>
          <w:kern w:val="2"/>
          <w:sz w:val="32"/>
          <w:szCs w:val="24"/>
          <w:lang w:val="en-US" w:eastAsia="zh-CN" w:bidi="ar-SA"/>
        </w:rPr>
      </w:pPr>
      <w:bookmarkStart w:id="9" w:name="heading_9"/>
      <w:r>
        <w:rPr>
          <w:rFonts w:hint="eastAsia" w:ascii="方正楷体_GB2312" w:hAnsi="方正楷体_GB2312" w:eastAsia="方正楷体_GB2312" w:cs="方正楷体_GB2312"/>
          <w:b/>
          <w:bCs/>
          <w:kern w:val="2"/>
          <w:sz w:val="32"/>
          <w:szCs w:val="24"/>
          <w:lang w:val="en-US" w:eastAsia="zh-CN" w:bidi="ar-SA"/>
        </w:rPr>
        <w:t>（二）施工污水管控要求</w:t>
      </w:r>
      <w:bookmarkEnd w:id="9"/>
    </w:p>
    <w:p w14:paraId="25F9117E">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1.施工现场设置排水沟、沉淀池，施工废水、喷淋废水、车辆冲洗水经沉淀处理达标后回用或合规排放，严禁未经处理直接外排；</w:t>
      </w:r>
    </w:p>
    <w:p w14:paraId="68635EF5">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2.严控施工油污泄漏，机械设备定期检修，设置防油污垫层，杜绝油污污染土壤及地下水；</w:t>
      </w:r>
    </w:p>
    <w:p w14:paraId="0249DB34">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3.雨天停止高空拆除作业，做好场地排水导流，防止泥沙外流污染周边市政管网及环境。</w:t>
      </w:r>
    </w:p>
    <w:p w14:paraId="62D4BFD3">
      <w:pPr>
        <w:keepNext w:val="0"/>
        <w:keepLines w:val="0"/>
        <w:pageBreakBefore w:val="0"/>
        <w:widowControl w:val="0"/>
        <w:kinsoku/>
        <w:wordWrap/>
        <w:overflowPunct/>
        <w:topLinePunct w:val="0"/>
        <w:autoSpaceDE/>
        <w:autoSpaceDN/>
        <w:bidi w:val="0"/>
        <w:adjustRightInd/>
        <w:snapToGrid/>
        <w:spacing w:line="640" w:lineRule="exact"/>
        <w:ind w:firstLine="643" w:firstLineChars="200"/>
        <w:contextualSpacing/>
        <w:textAlignment w:val="auto"/>
        <w:rPr>
          <w:rFonts w:hint="eastAsia" w:ascii="方正楷体_GB2312" w:hAnsi="方正楷体_GB2312" w:eastAsia="方正楷体_GB2312" w:cs="方正楷体_GB2312"/>
          <w:b/>
          <w:bCs/>
          <w:kern w:val="2"/>
          <w:sz w:val="32"/>
          <w:szCs w:val="24"/>
          <w:lang w:val="en-US" w:eastAsia="zh-CN" w:bidi="ar-SA"/>
        </w:rPr>
      </w:pPr>
      <w:bookmarkStart w:id="10" w:name="heading_11"/>
      <w:r>
        <w:rPr>
          <w:rFonts w:hint="eastAsia" w:ascii="方正楷体_GB2312" w:hAnsi="方正楷体_GB2312" w:eastAsia="方正楷体_GB2312" w:cs="方正楷体_GB2312"/>
          <w:b/>
          <w:bCs/>
          <w:kern w:val="2"/>
          <w:sz w:val="32"/>
          <w:szCs w:val="24"/>
          <w:lang w:val="en-US" w:eastAsia="zh-CN" w:bidi="ar-SA"/>
        </w:rPr>
        <w:t>（三）废气与异味管控要求</w:t>
      </w:r>
      <w:bookmarkEnd w:id="10"/>
    </w:p>
    <w:p w14:paraId="118CF63F">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1.施工机械设备选用达标排放的环保设备，禁止尾气超标设备进场作业；</w:t>
      </w:r>
    </w:p>
    <w:p w14:paraId="7435F81B">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2.拆除废旧设备、管道过程中，严禁违规释放残留介质，杜绝异味、有害气体扩散；</w:t>
      </w:r>
    </w:p>
    <w:p w14:paraId="78B09C9C">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3.高温、大风天气强化废气、扬尘管控，加密喷淋频次，必要时暂停露天拆除作业。</w:t>
      </w:r>
    </w:p>
    <w:p w14:paraId="3CC59AA1">
      <w:pPr>
        <w:keepNext w:val="0"/>
        <w:keepLines w:val="0"/>
        <w:pageBreakBefore w:val="0"/>
        <w:widowControl w:val="0"/>
        <w:kinsoku/>
        <w:wordWrap/>
        <w:overflowPunct/>
        <w:topLinePunct w:val="0"/>
        <w:autoSpaceDE/>
        <w:autoSpaceDN/>
        <w:bidi w:val="0"/>
        <w:adjustRightInd/>
        <w:snapToGrid/>
        <w:spacing w:line="592" w:lineRule="exact"/>
        <w:ind w:firstLine="643" w:firstLineChars="200"/>
        <w:contextualSpacing/>
        <w:textAlignment w:val="auto"/>
        <w:rPr>
          <w:rFonts w:hint="eastAsia" w:ascii="方正楷体_GB2312" w:hAnsi="方正楷体_GB2312" w:eastAsia="方正楷体_GB2312" w:cs="方正楷体_GB2312"/>
          <w:b/>
          <w:bCs/>
          <w:kern w:val="2"/>
          <w:sz w:val="32"/>
          <w:szCs w:val="24"/>
          <w:lang w:val="en-US" w:eastAsia="zh-CN" w:bidi="ar-SA"/>
        </w:rPr>
      </w:pPr>
      <w:bookmarkStart w:id="11" w:name="heading_12"/>
      <w:r>
        <w:rPr>
          <w:rFonts w:hint="eastAsia" w:ascii="方正楷体_GB2312" w:hAnsi="方正楷体_GB2312" w:eastAsia="方正楷体_GB2312" w:cs="方正楷体_GB2312"/>
          <w:b/>
          <w:bCs/>
          <w:kern w:val="2"/>
          <w:sz w:val="32"/>
          <w:szCs w:val="24"/>
          <w:lang w:val="en-US" w:eastAsia="zh-CN" w:bidi="ar-SA"/>
        </w:rPr>
        <w:t>（四）环保监测与台账管理要求</w:t>
      </w:r>
      <w:bookmarkEnd w:id="11"/>
    </w:p>
    <w:p w14:paraId="0FC4A2EF">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1.买受人必须配备扬尘、噪声在线监测设备，实时上传监测数据，建立每日环保监测台账；</w:t>
      </w:r>
    </w:p>
    <w:p w14:paraId="0EE90CFB">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2.定期委托第三方检测机构对施工现场噪声、扬尘、废气指标进行检测，留存检测报告备查；</w:t>
      </w:r>
    </w:p>
    <w:p w14:paraId="30A26388">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bookmarkStart w:id="12" w:name="heading_13"/>
      <w:r>
        <w:rPr>
          <w:rFonts w:hint="eastAsia" w:ascii="Times New Roman" w:hAnsi="Times New Roman" w:eastAsia="仿宋_GB2312" w:cs="Times New Roman"/>
          <w:kern w:val="2"/>
          <w:sz w:val="32"/>
          <w:szCs w:val="24"/>
          <w:lang w:val="en-US" w:eastAsia="zh-CN" w:bidi="ar-SA"/>
        </w:rPr>
        <w:t>3.周边环境防护要求</w:t>
      </w:r>
      <w:bookmarkEnd w:id="12"/>
    </w:p>
    <w:p w14:paraId="2FB81E06">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（1）施工场区全封闭围挡，围挡高度、密封性符合济南本地施工环保标准，设置公益围挡及警示标识；</w:t>
      </w:r>
    </w:p>
    <w:p w14:paraId="693E2571">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（2）临近居民区、市政道路一侧强化降噪、降尘、防坠措施，最大限度降低施工对周边居民及公共环境的影响；</w:t>
      </w:r>
    </w:p>
    <w:p w14:paraId="1F62BA52">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（3）遇重污染天气、大风、雾霾等恶劣天气，严格落实政府应急管控要求，及时停工、强化防控。</w:t>
      </w:r>
    </w:p>
    <w:p w14:paraId="614D8366">
      <w:pPr>
        <w:keepNext w:val="0"/>
        <w:keepLines w:val="0"/>
        <w:pageBreakBefore w:val="0"/>
        <w:widowControl w:val="0"/>
        <w:kinsoku/>
        <w:wordWrap/>
        <w:overflowPunct/>
        <w:topLinePunct w:val="0"/>
        <w:autoSpaceDE/>
        <w:autoSpaceDN/>
        <w:bidi w:val="0"/>
        <w:adjustRightInd/>
        <w:snapToGrid/>
        <w:spacing w:line="640" w:lineRule="exact"/>
        <w:ind w:firstLine="640" w:firstLineChars="200"/>
        <w:contextualSpacing/>
        <w:textAlignment w:val="auto"/>
        <w:rPr>
          <w:rFonts w:hint="eastAsia" w:ascii="黑体" w:hAnsi="黑体" w:eastAsia="黑体" w:cs="黑体"/>
          <w:kern w:val="2"/>
          <w:sz w:val="32"/>
          <w:szCs w:val="24"/>
          <w:lang w:val="en-US" w:eastAsia="zh-CN" w:bidi="ar-SA"/>
        </w:rPr>
      </w:pPr>
      <w:bookmarkStart w:id="13" w:name="heading_14"/>
      <w:r>
        <w:rPr>
          <w:rFonts w:hint="eastAsia" w:ascii="黑体" w:hAnsi="黑体" w:eastAsia="黑体" w:cs="黑体"/>
          <w:kern w:val="2"/>
          <w:sz w:val="32"/>
          <w:szCs w:val="24"/>
          <w:lang w:val="en-US" w:eastAsia="zh-CN" w:bidi="ar-SA"/>
        </w:rPr>
        <w:t>四、履约承诺与责任声明</w:t>
      </w:r>
      <w:bookmarkEnd w:id="13"/>
    </w:p>
    <w:p w14:paraId="6B7663DC">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1.所有买受人自愿完全接受本专项施工约束要求，承诺中标后严格按照本方案及国家、地方环保、安全标准组织施工，严格执行由南向北拆除顺序、双120米烟囱同步人工拆除禁令，无任何异议。</w:t>
      </w:r>
    </w:p>
    <w:p w14:paraId="4DC2A2E5">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施工过程中若出现环保指标超标、违规爆破、施工顺序混乱、未同步施工等违约行为，转让人有权依据拍卖文件及合同约定，责令停工整改、扣除履约保证金，情节严重的直接解除施工合同，追究全部经济及法律责任。</w:t>
      </w:r>
    </w:p>
    <w:p w14:paraId="512A6028">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3.买受人承担施工全过程的安全责任、环保责任、舆情责任及一切经济损失，因违规施工造成的环境污染、设备损坏、人员伤亡、邻里纠纷、行政处罚等所有问题，均由买受人全权承担。</w:t>
      </w:r>
    </w:p>
    <w:p w14:paraId="44771737">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4.买受人须（或买受人雇佣的施工单位）为所有施工作业人员购买足额的工伤保险、人身意外伤害保险及安全生产责任保险，保险受益人应为施工人员。</w:t>
      </w:r>
    </w:p>
    <w:p w14:paraId="18B35FC4">
      <w:pPr>
        <w:keepNext w:val="0"/>
        <w:keepLines w:val="0"/>
        <w:pageBreakBefore w:val="0"/>
        <w:widowControl w:val="0"/>
        <w:kinsoku/>
        <w:wordWrap/>
        <w:overflowPunct/>
        <w:topLinePunct w:val="0"/>
        <w:autoSpaceDE/>
        <w:autoSpaceDN/>
        <w:bidi w:val="0"/>
        <w:adjustRightInd/>
        <w:snapToGrid/>
        <w:spacing w:line="640" w:lineRule="exact"/>
        <w:ind w:firstLine="640" w:firstLineChars="200"/>
        <w:contextualSpacing/>
        <w:textAlignment w:val="auto"/>
        <w:rPr>
          <w:rFonts w:hint="eastAsia" w:ascii="黑体" w:hAnsi="黑体" w:eastAsia="黑体" w:cs="黑体"/>
          <w:kern w:val="2"/>
          <w:sz w:val="32"/>
          <w:szCs w:val="24"/>
          <w:lang w:val="en-US" w:eastAsia="zh-CN" w:bidi="ar-SA"/>
        </w:rPr>
      </w:pPr>
      <w:r>
        <w:rPr>
          <w:rFonts w:hint="eastAsia" w:ascii="黑体" w:hAnsi="黑体" w:eastAsia="黑体" w:cs="黑体"/>
          <w:kern w:val="2"/>
          <w:sz w:val="32"/>
          <w:szCs w:val="24"/>
          <w:lang w:val="en-US" w:eastAsia="zh-CN" w:bidi="ar-SA"/>
        </w:rPr>
        <w:t>五、竞买人资格要求</w:t>
      </w:r>
    </w:p>
    <w:p w14:paraId="5FB90E87">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1.竞买人须为依法设立并有效存续的企业法人，具有良好的财务状况和支付能力，不接受自然人、个体工商户、联合体。</w:t>
      </w:r>
    </w:p>
    <w:p w14:paraId="412F41D7">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2.竞买人须具有良好的商业信誉，未被司法机关及其他单位列为失信被执行人，在经营活动中无重大违法记录（提供“信用中国 ”无不良记录证明、“ 中国裁判文书网 ”无违法记录证明）。</w:t>
      </w:r>
    </w:p>
    <w:p w14:paraId="1DC147D3">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超危大工程拆除施工单位须具备建筑工程施工总承包二级及以上相应资质证书、安全生产许可证，具备履行合同的专业技术人员及设备，近3年内无重大及以上生产安全事故，无因违法违规被建设行政主管部门行政处罚且在公示期内的记录，无失信被执行人记录。报名时间截止前提交符合转让人施工计划的可行性施工方案（盖意向受让方公章）。</w:t>
      </w:r>
    </w:p>
    <w:p w14:paraId="5CD7D493">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4.标的资产涉及废弃物品的处理，竞买人须具备相关资质或处置能力或委托具有相关处置资质的单位处理，处理过程须符合相关法律法规。</w:t>
      </w:r>
    </w:p>
    <w:p w14:paraId="7A017C42">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5.受让方（或雇佣的施工单位）须配备驻场项目经理1名、3名以上安全员（由应急管理单位或住建部门颁发），以上人员还须提供本单位社保缴纳证明及身份证原件。以上资质文件复印件加盖竞买人公章，同时提供上述文件真伪查询件及查询网址说明(加盖竞买人公章)。</w:t>
      </w:r>
    </w:p>
    <w:p w14:paraId="6187BEE4">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6.意向受让方成为受让方后须出具《超危大工程专项方案》，《超危大工程专项方案》需经不少于5名专家（济南市房屋建筑和燃气供热工程危险性较大分部分项工程专项施工方案论证专家库）评审，转让方保留对施工方案审核的权利，施工方案需要修改优化的受让方应进行修改优化。</w:t>
      </w:r>
    </w:p>
    <w:p w14:paraId="7E308AAB">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7.本次拍卖标的属国有资产，于  年  月  日至  月  日在济南产权交易服务有限公司网站（http://www.jncq.com）公开挂牌公示，竞买人须满足各标的交易公告中关于交易说明、特别事项披露的有关要求。</w:t>
      </w:r>
    </w:p>
    <w:p w14:paraId="2BC97BB8">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8.因竞买人不符合资格条件、不具备履约能力或提交虚假（编造、伪造）资料参与报名的，须承担全部法律和经济责任。</w:t>
      </w:r>
    </w:p>
    <w:p w14:paraId="0238BF7C">
      <w:pPr>
        <w:keepNext w:val="0"/>
        <w:keepLines w:val="0"/>
        <w:pageBreakBefore w:val="0"/>
        <w:widowControl w:val="0"/>
        <w:kinsoku/>
        <w:wordWrap/>
        <w:overflowPunct/>
        <w:topLinePunct w:val="0"/>
        <w:autoSpaceDE/>
        <w:autoSpaceDN/>
        <w:bidi w:val="0"/>
        <w:adjustRightInd/>
        <w:snapToGrid/>
        <w:spacing w:line="640" w:lineRule="exact"/>
        <w:ind w:firstLine="640" w:firstLineChars="200"/>
        <w:contextualSpacing/>
        <w:textAlignment w:val="auto"/>
        <w:rPr>
          <w:rFonts w:hint="eastAsia" w:ascii="黑体" w:hAnsi="黑体" w:eastAsia="黑体" w:cs="黑体"/>
          <w:kern w:val="2"/>
          <w:sz w:val="32"/>
          <w:szCs w:val="24"/>
          <w:lang w:val="en-US" w:eastAsia="zh-CN" w:bidi="ar-SA"/>
        </w:rPr>
      </w:pPr>
      <w:r>
        <w:rPr>
          <w:rFonts w:hint="eastAsia" w:ascii="黑体" w:hAnsi="黑体" w:eastAsia="黑体" w:cs="黑体"/>
          <w:kern w:val="2"/>
          <w:sz w:val="32"/>
          <w:szCs w:val="24"/>
          <w:lang w:val="en-US" w:eastAsia="zh-CN" w:bidi="ar-SA"/>
        </w:rPr>
        <w:t>六、车辆及道路限行告知</w:t>
      </w:r>
    </w:p>
    <w:p w14:paraId="539C5E8E">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1.济南市绕城高速以内、长清区和莱芜区的禁行区域，禁止所有国三及以下排放标准柴油货车通行。</w:t>
      </w:r>
    </w:p>
    <w:p w14:paraId="7BF620D1">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2.交通高峰期禁止轻型、微型货车以及悬挂外地号牌的机动车进入城市快速路、经十路（邢村立交至济南西立交）、旅游路（港西路至舜耕路）通行。“外地号牌”是指非“鲁A、鲁S”的机动车号牌。工作日交通高峰期是指工作日7时至9时、17时至19时。</w:t>
      </w:r>
    </w:p>
    <w:p w14:paraId="7A60FFA3">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default"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3.以上交通告知仅为参考，其他要求参考济南市人民政府、交管部门下发的最新制度要求。</w:t>
      </w:r>
    </w:p>
    <w:p w14:paraId="157498A8">
      <w:pPr>
        <w:keepNext w:val="0"/>
        <w:keepLines w:val="0"/>
        <w:pageBreakBefore w:val="0"/>
        <w:widowControl w:val="0"/>
        <w:kinsoku/>
        <w:wordWrap/>
        <w:overflowPunct/>
        <w:topLinePunct w:val="0"/>
        <w:autoSpaceDE/>
        <w:autoSpaceDN/>
        <w:bidi w:val="0"/>
        <w:adjustRightInd/>
        <w:snapToGrid/>
        <w:spacing w:before="120" w:after="120" w:line="540" w:lineRule="exact"/>
        <w:ind w:left="0"/>
        <w:jc w:val="righ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lang w:eastAsia="zh-CN"/>
        </w:rPr>
        <w:t>买受人</w:t>
      </w:r>
      <w:r>
        <w:rPr>
          <w:rFonts w:hint="eastAsia" w:ascii="方正仿宋_GB2312" w:hAnsi="方正仿宋_GB2312" w:eastAsia="方正仿宋_GB2312" w:cs="方正仿宋_GB2312"/>
          <w:b/>
          <w:sz w:val="32"/>
          <w:szCs w:val="32"/>
        </w:rPr>
        <w:t>（盖章）：</w:t>
      </w:r>
      <w:r>
        <w:rPr>
          <w:rFonts w:hint="eastAsia" w:ascii="方正仿宋_GB2312" w:hAnsi="方正仿宋_GB2312" w:eastAsia="方正仿宋_GB2312" w:cs="方正仿宋_GB2312"/>
          <w:sz w:val="32"/>
          <w:szCs w:val="32"/>
        </w:rPr>
        <w:t>_______________</w:t>
      </w:r>
    </w:p>
    <w:p w14:paraId="2066BB82">
      <w:pPr>
        <w:keepNext w:val="0"/>
        <w:keepLines w:val="0"/>
        <w:pageBreakBefore w:val="0"/>
        <w:widowControl w:val="0"/>
        <w:kinsoku/>
        <w:wordWrap/>
        <w:overflowPunct/>
        <w:topLinePunct w:val="0"/>
        <w:autoSpaceDE/>
        <w:autoSpaceDN/>
        <w:bidi w:val="0"/>
        <w:adjustRightInd/>
        <w:snapToGrid/>
        <w:spacing w:before="120" w:after="120" w:line="540" w:lineRule="exact"/>
        <w:ind w:left="0"/>
        <w:jc w:val="righ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法定代表人（签字）：</w:t>
      </w:r>
      <w:r>
        <w:rPr>
          <w:rFonts w:hint="eastAsia" w:ascii="方正仿宋_GB2312" w:hAnsi="方正仿宋_GB2312" w:eastAsia="方正仿宋_GB2312" w:cs="方正仿宋_GB2312"/>
          <w:sz w:val="32"/>
          <w:szCs w:val="32"/>
        </w:rPr>
        <w:t>____________</w:t>
      </w:r>
    </w:p>
    <w:p w14:paraId="03D4F0C5">
      <w:pPr>
        <w:keepNext w:val="0"/>
        <w:keepLines w:val="0"/>
        <w:pageBreakBefore w:val="0"/>
        <w:widowControl w:val="0"/>
        <w:kinsoku/>
        <w:wordWrap/>
        <w:overflowPunct/>
        <w:topLinePunct w:val="0"/>
        <w:autoSpaceDE/>
        <w:autoSpaceDN/>
        <w:bidi w:val="0"/>
        <w:adjustRightInd/>
        <w:snapToGrid/>
        <w:spacing w:before="120" w:after="120" w:line="540" w:lineRule="exact"/>
        <w:ind w:left="0"/>
        <w:jc w:val="righ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承诺日期：</w:t>
      </w:r>
      <w:r>
        <w:rPr>
          <w:rFonts w:hint="eastAsia" w:ascii="方正仿宋_GB2312" w:hAnsi="方正仿宋_GB2312" w:eastAsia="方正仿宋_GB2312" w:cs="方正仿宋_GB2312"/>
          <w:sz w:val="32"/>
          <w:szCs w:val="32"/>
        </w:rPr>
        <w:t>_____年_____月_____日</w:t>
      </w:r>
    </w:p>
    <w:sectPr>
      <w:headerReference r:id="rId3" w:type="default"/>
      <w:footerReference r:id="rId4" w:type="default"/>
      <w:pgSz w:w="11905" w:h="16840"/>
      <w:pgMar w:top="2098" w:right="1474"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2F1205-B905-4F24-881A-2235DC38E3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1561DA9-DE75-4E5F-80DB-523C2A3F9CEA}"/>
  </w:font>
  <w:font w:name="方正小标宋简体">
    <w:panose1 w:val="02000000000000000000"/>
    <w:charset w:val="86"/>
    <w:family w:val="auto"/>
    <w:pitch w:val="default"/>
    <w:sig w:usb0="00000001" w:usb1="08000000" w:usb2="00000000" w:usb3="00000000" w:csb0="00040000" w:csb1="00000000"/>
    <w:embedRegular r:id="rId3" w:fontKey="{9561486B-8DCF-40D9-B5E5-C381C643FAFF}"/>
  </w:font>
  <w:font w:name="方正仿宋_GB2312">
    <w:panose1 w:val="02000000000000000000"/>
    <w:charset w:val="86"/>
    <w:family w:val="auto"/>
    <w:pitch w:val="default"/>
    <w:sig w:usb0="A00002BF" w:usb1="184F6CFA" w:usb2="00000012" w:usb3="00000000" w:csb0="00040001" w:csb1="00000000"/>
    <w:embedRegular r:id="rId4" w:fontKey="{E1F19EE8-B514-42E6-8C2A-6789B24360D1}"/>
  </w:font>
  <w:font w:name="仿宋_GB2312">
    <w:panose1 w:val="02010609030101010101"/>
    <w:charset w:val="86"/>
    <w:family w:val="modern"/>
    <w:pitch w:val="default"/>
    <w:sig w:usb0="00000001" w:usb1="080E0000" w:usb2="00000000" w:usb3="00000000" w:csb0="00040000" w:csb1="00000000"/>
    <w:embedRegular r:id="rId5" w:fontKey="{F318A42A-AEAD-49B6-8C6C-DC85CDB798FD}"/>
  </w:font>
  <w:font w:name="方正楷体_GB2312">
    <w:panose1 w:val="02000000000000000000"/>
    <w:charset w:val="86"/>
    <w:family w:val="auto"/>
    <w:pitch w:val="default"/>
    <w:sig w:usb0="A00002BF" w:usb1="184F6CFA" w:usb2="00000012" w:usb3="00000000" w:csb0="00040001" w:csb1="00000000"/>
    <w:embedRegular r:id="rId6" w:fontKey="{6750475A-2EBD-4940-9DFF-9AF8A410F7EF}"/>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2834E"/>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E033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B3039"/>
    <w:rsid w:val="06D75C39"/>
    <w:rsid w:val="08A32EF5"/>
    <w:rsid w:val="0C7D61B9"/>
    <w:rsid w:val="10BC37C4"/>
    <w:rsid w:val="12F813F8"/>
    <w:rsid w:val="18551182"/>
    <w:rsid w:val="197213F8"/>
    <w:rsid w:val="244A48F3"/>
    <w:rsid w:val="25F8115F"/>
    <w:rsid w:val="26403312"/>
    <w:rsid w:val="29604F09"/>
    <w:rsid w:val="2BDC29AA"/>
    <w:rsid w:val="2DFA0D84"/>
    <w:rsid w:val="32E463B3"/>
    <w:rsid w:val="33BD4DF2"/>
    <w:rsid w:val="36D10E98"/>
    <w:rsid w:val="42514E04"/>
    <w:rsid w:val="444149D4"/>
    <w:rsid w:val="46B95B54"/>
    <w:rsid w:val="52E50355"/>
    <w:rsid w:val="54CE486E"/>
    <w:rsid w:val="5A4B00A3"/>
    <w:rsid w:val="5CF724E6"/>
    <w:rsid w:val="601E492E"/>
    <w:rsid w:val="62023E1C"/>
    <w:rsid w:val="64F63783"/>
    <w:rsid w:val="694C1F68"/>
    <w:rsid w:val="69D7127A"/>
    <w:rsid w:val="6A877048"/>
    <w:rsid w:val="79A03A46"/>
    <w:rsid w:val="7D7E7C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sz w:val="21"/>
      <w:szCs w:val="22"/>
    </w:rPr>
  </w:style>
  <w:style w:type="character" w:default="1" w:styleId="5">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paragraph" w:styleId="2">
    <w:name w:val="Body Text"/>
    <w:basedOn w:val="1"/>
    <w:qFormat/>
    <w:uiPriority w:val="0"/>
    <w:rPr>
      <w:rFonts w:hAnsi="宋体" w:cs="Times New Roman"/>
      <w:sz w:val="32"/>
      <w:szCs w:val="20"/>
    </w:rPr>
  </w:style>
  <w:style w:type="paragraph" w:styleId="3">
    <w:name w:val="Normal (Web)"/>
    <w:basedOn w:val="1"/>
    <w:unhideWhenUsed/>
    <w:qFormat/>
    <w:uiPriority w:val="99"/>
    <w:pPr>
      <w:spacing w:before="100" w:beforeAutospacing="1" w:after="100" w:afterAutospacing="1"/>
      <w:jc w:val="left"/>
    </w:pPr>
    <w:rPr>
      <w:rFonts w:hint="default"/>
      <w:kern w:val="0"/>
      <w:sz w:val="24"/>
      <w:szCs w:val="24"/>
    </w:rPr>
  </w:style>
  <w:style w:type="paragraph" w:customStyle="1" w:styleId="6">
    <w:name w:val="msonormalcxspmiddle"/>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3954</Words>
  <Characters>4162</Characters>
  <Paragraphs>64</Paragraphs>
  <TotalTime>21</TotalTime>
  <ScaleCrop>false</ScaleCrop>
  <LinksUpToDate>false</LinksUpToDate>
  <CharactersWithSpaces>4181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2026-05-29T01:08:00Z</dcterms:created>
  <dc:creator>Apache POI</dc:creator>
  <cp:lastModifiedBy>刘璐</cp:lastModifiedBy>
  <dcterms:modified xsi:type="dcterms:W3CDTF">2026-06-12T02:41:48Z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{"Label":"1","ContentProducer":"001191110102MACQD9K64010000","ProduceID":"7645114321106472126","ReservedCode1":"","ContentPropagator":"","PropagateID":"","ReservedCode2":""}</vt:lpwstr>
  </property>
  <property fmtid="{D5CDD505-2E9C-101B-9397-08002B2CF9AE}" pid="3" name="KSOTemplateDocerSaveRecord">
    <vt:lpwstr>eyJoZGlkIjoiNTYxNzJlMjNhNTg0NmYxMWQyZGNhYjk0ZTYwNmZhMmUiLCJ1c2VySWQiOiIzODI3NzgzNDcifQ==</vt:lpwstr>
  </property>
  <property fmtid="{D5CDD505-2E9C-101B-9397-08002B2CF9AE}" pid="4" name="KSOProductBuildVer">
    <vt:lpwstr>2052-12.1.0.26895</vt:lpwstr>
  </property>
  <property fmtid="{D5CDD505-2E9C-101B-9397-08002B2CF9AE}" pid="5" name="ICV">
    <vt:lpwstr>20DF58EFC45B49568C8AE205A8E112D2_13</vt:lpwstr>
  </property>
</Properties>
</file>